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Arial"/>
          <w:sz w:val="21"/>
        </w:rPr>
      </w:pPr>
    </w:p>
    <w:p>
      <w:pPr>
        <w:spacing w:before="133" w:line="185" w:lineRule="auto"/>
        <w:ind w:left="40"/>
        <w:rPr>
          <w:rFonts w:ascii="微软雅黑" w:hAnsi="微软雅黑" w:eastAsia="微软雅黑" w:cs="微软雅黑"/>
          <w:sz w:val="31"/>
          <w:szCs w:val="31"/>
        </w:rPr>
      </w:pPr>
      <w:r>
        <w:rPr>
          <w:rFonts w:ascii="微软雅黑" w:hAnsi="微软雅黑" w:eastAsia="微软雅黑" w:cs="微软雅黑"/>
          <w:spacing w:val="-1"/>
          <w:sz w:val="31"/>
          <w:szCs w:val="31"/>
        </w:rPr>
        <w:t>附件</w:t>
      </w:r>
      <w:r>
        <w:rPr>
          <w:rFonts w:ascii="微软雅黑" w:hAnsi="微软雅黑" w:eastAsia="微软雅黑" w:cs="微软雅黑"/>
          <w:spacing w:val="23"/>
          <w:sz w:val="31"/>
          <w:szCs w:val="31"/>
        </w:rPr>
        <w:t xml:space="preserve"> </w:t>
      </w:r>
      <w:r>
        <w:rPr>
          <w:rFonts w:ascii="微软雅黑" w:hAnsi="微软雅黑" w:eastAsia="微软雅黑" w:cs="微软雅黑"/>
          <w:spacing w:val="-1"/>
          <w:sz w:val="31"/>
          <w:szCs w:val="31"/>
        </w:rPr>
        <w:t>1</w:t>
      </w:r>
    </w:p>
    <w:p>
      <w:pPr>
        <w:spacing w:line="309" w:lineRule="auto"/>
        <w:rPr>
          <w:rFonts w:ascii="Arial"/>
          <w:sz w:val="21"/>
        </w:rPr>
      </w:pPr>
    </w:p>
    <w:p>
      <w:pPr>
        <w:spacing w:before="114" w:line="223" w:lineRule="auto"/>
        <w:ind w:left="4862"/>
        <w:outlineLvl w:val="0"/>
        <w:rPr>
          <w:rFonts w:ascii="宋体" w:hAnsi="宋体" w:eastAsia="宋体" w:cs="宋体"/>
          <w:sz w:val="35"/>
          <w:szCs w:val="35"/>
        </w:rPr>
      </w:pPr>
      <w:r>
        <w:rPr>
          <w:rFonts w:hint="eastAsia" w:ascii="宋体" w:hAnsi="宋体" w:eastAsia="宋体" w:cs="宋体"/>
          <w:b/>
          <w:bCs/>
          <w:spacing w:val="7"/>
          <w:sz w:val="35"/>
          <w:szCs w:val="35"/>
          <w:lang w:val="en-US" w:eastAsia="zh-CN"/>
        </w:rPr>
        <w:t>旬阳</w:t>
      </w:r>
      <w:r>
        <w:rPr>
          <w:rFonts w:ascii="宋体" w:hAnsi="宋体" w:eastAsia="宋体" w:cs="宋体"/>
          <w:b/>
          <w:bCs/>
          <w:spacing w:val="7"/>
          <w:sz w:val="35"/>
          <w:szCs w:val="35"/>
        </w:rPr>
        <w:t>市政府性基金目录清单</w:t>
      </w:r>
    </w:p>
    <w:p>
      <w:pPr>
        <w:spacing w:before="174"/>
      </w:pPr>
    </w:p>
    <w:tbl>
      <w:tblPr>
        <w:tblStyle w:val="6"/>
        <w:tblW w:w="140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711"/>
        <w:gridCol w:w="713"/>
        <w:gridCol w:w="3861"/>
        <w:gridCol w:w="926"/>
        <w:gridCol w:w="2235"/>
        <w:gridCol w:w="3051"/>
        <w:gridCol w:w="2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468" w:type="dxa"/>
            <w:tcBorders>
              <w:top w:val="single" w:color="000000" w:sz="6" w:space="0"/>
              <w:left w:val="single" w:color="000000" w:sz="6" w:space="0"/>
            </w:tcBorders>
            <w:vAlign w:val="top"/>
          </w:tcPr>
          <w:p>
            <w:pPr>
              <w:spacing w:before="118" w:line="206" w:lineRule="auto"/>
              <w:ind w:left="25" w:right="37"/>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r>
              <w:rPr>
                <w:rFonts w:ascii="微软雅黑" w:hAnsi="微软雅黑" w:eastAsia="微软雅黑" w:cs="微软雅黑"/>
                <w:b/>
                <w:bCs/>
                <w:sz w:val="18"/>
                <w:szCs w:val="18"/>
              </w:rPr>
              <w:t xml:space="preserve"> </w:t>
            </w:r>
            <w:r>
              <w:rPr>
                <w:rFonts w:ascii="微软雅黑" w:hAnsi="微软雅黑" w:eastAsia="微软雅黑" w:cs="微软雅黑"/>
                <w:b/>
                <w:bCs/>
                <w:spacing w:val="7"/>
                <w:sz w:val="18"/>
                <w:szCs w:val="18"/>
              </w:rPr>
              <w:t>序号</w:t>
            </w:r>
          </w:p>
        </w:tc>
        <w:tc>
          <w:tcPr>
            <w:tcW w:w="711" w:type="dxa"/>
            <w:tcBorders>
              <w:top w:val="single" w:color="000000" w:sz="6" w:space="0"/>
            </w:tcBorders>
            <w:vAlign w:val="top"/>
          </w:tcPr>
          <w:p>
            <w:pPr>
              <w:spacing w:before="119" w:line="230"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p>
          <w:p>
            <w:pPr>
              <w:spacing w:line="181"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名称</w:t>
            </w:r>
          </w:p>
        </w:tc>
        <w:tc>
          <w:tcPr>
            <w:tcW w:w="713" w:type="dxa"/>
            <w:tcBorders>
              <w:top w:val="single" w:color="000000" w:sz="6" w:space="0"/>
            </w:tcBorders>
            <w:vAlign w:val="top"/>
          </w:tcPr>
          <w:p>
            <w:pPr>
              <w:spacing w:before="110" w:line="209" w:lineRule="auto"/>
              <w:ind w:left="230" w:right="40" w:hanging="201"/>
              <w:rPr>
                <w:rFonts w:ascii="微软雅黑" w:hAnsi="微软雅黑" w:eastAsia="微软雅黑" w:cs="微软雅黑"/>
                <w:sz w:val="18"/>
                <w:szCs w:val="18"/>
              </w:rPr>
            </w:pPr>
            <w:r>
              <w:rPr>
                <w:rFonts w:ascii="微软雅黑" w:hAnsi="微软雅黑" w:eastAsia="微软雅黑" w:cs="微软雅黑"/>
                <w:b/>
                <w:bCs/>
                <w:spacing w:val="8"/>
                <w:sz w:val="18"/>
                <w:szCs w:val="18"/>
              </w:rPr>
              <w:t>资金管理</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7"/>
                <w:sz w:val="18"/>
                <w:szCs w:val="18"/>
              </w:rPr>
              <w:t>方式</w:t>
            </w:r>
          </w:p>
        </w:tc>
        <w:tc>
          <w:tcPr>
            <w:tcW w:w="3861" w:type="dxa"/>
            <w:tcBorders>
              <w:top w:val="single" w:color="000000" w:sz="6" w:space="0"/>
            </w:tcBorders>
            <w:vAlign w:val="top"/>
          </w:tcPr>
          <w:p>
            <w:pPr>
              <w:spacing w:before="270" w:line="190" w:lineRule="auto"/>
              <w:ind w:left="1447"/>
              <w:rPr>
                <w:rFonts w:ascii="微软雅黑" w:hAnsi="微软雅黑" w:eastAsia="微软雅黑" w:cs="微软雅黑"/>
                <w:sz w:val="18"/>
                <w:szCs w:val="18"/>
              </w:rPr>
            </w:pPr>
            <w:r>
              <w:rPr>
                <w:rFonts w:ascii="微软雅黑" w:hAnsi="微软雅黑" w:eastAsia="微软雅黑" w:cs="微软雅黑"/>
                <w:b/>
                <w:bCs/>
                <w:spacing w:val="9"/>
                <w:sz w:val="18"/>
                <w:szCs w:val="18"/>
              </w:rPr>
              <w:t>政策依据</w:t>
            </w:r>
          </w:p>
        </w:tc>
        <w:tc>
          <w:tcPr>
            <w:tcW w:w="926" w:type="dxa"/>
            <w:tcBorders>
              <w:top w:val="single" w:color="000000" w:sz="6" w:space="0"/>
            </w:tcBorders>
            <w:vAlign w:val="top"/>
          </w:tcPr>
          <w:p>
            <w:pPr>
              <w:spacing w:before="110" w:line="209" w:lineRule="auto"/>
              <w:ind w:left="88" w:right="63" w:hanging="27"/>
              <w:rPr>
                <w:rFonts w:ascii="微软雅黑" w:hAnsi="微软雅黑" w:eastAsia="微软雅黑" w:cs="微软雅黑"/>
                <w:sz w:val="18"/>
                <w:szCs w:val="18"/>
              </w:rPr>
            </w:pPr>
            <w:r>
              <w:rPr>
                <w:rFonts w:ascii="微软雅黑" w:hAnsi="微软雅黑" w:eastAsia="微软雅黑" w:cs="微软雅黑"/>
                <w:b/>
                <w:bCs/>
                <w:spacing w:val="8"/>
                <w:sz w:val="18"/>
                <w:szCs w:val="18"/>
              </w:rPr>
              <w:t>执收部门</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1"/>
                <w:sz w:val="18"/>
                <w:szCs w:val="18"/>
              </w:rPr>
              <w:t>（单位）</w:t>
            </w:r>
          </w:p>
        </w:tc>
        <w:tc>
          <w:tcPr>
            <w:tcW w:w="2235" w:type="dxa"/>
            <w:tcBorders>
              <w:top w:val="single" w:color="000000" w:sz="6" w:space="0"/>
            </w:tcBorders>
            <w:vAlign w:val="top"/>
          </w:tcPr>
          <w:p>
            <w:pPr>
              <w:spacing w:before="271" w:line="189" w:lineRule="auto"/>
              <w:ind w:left="719"/>
              <w:rPr>
                <w:rFonts w:ascii="微软雅黑" w:hAnsi="微软雅黑" w:eastAsia="微软雅黑" w:cs="微软雅黑"/>
                <w:sz w:val="18"/>
                <w:szCs w:val="18"/>
              </w:rPr>
            </w:pPr>
            <w:r>
              <w:rPr>
                <w:rFonts w:ascii="微软雅黑" w:hAnsi="微软雅黑" w:eastAsia="微软雅黑" w:cs="微软雅黑"/>
                <w:b/>
                <w:bCs/>
                <w:spacing w:val="9"/>
                <w:sz w:val="18"/>
                <w:szCs w:val="18"/>
              </w:rPr>
              <w:t>征收对象</w:t>
            </w:r>
          </w:p>
        </w:tc>
        <w:tc>
          <w:tcPr>
            <w:tcW w:w="3051" w:type="dxa"/>
            <w:tcBorders>
              <w:top w:val="single" w:color="000000" w:sz="6" w:space="0"/>
            </w:tcBorders>
            <w:vAlign w:val="top"/>
          </w:tcPr>
          <w:p>
            <w:pPr>
              <w:spacing w:before="270" w:line="190" w:lineRule="auto"/>
              <w:ind w:left="1128"/>
              <w:rPr>
                <w:rFonts w:ascii="微软雅黑" w:hAnsi="微软雅黑" w:eastAsia="微软雅黑" w:cs="微软雅黑"/>
                <w:sz w:val="18"/>
                <w:szCs w:val="18"/>
              </w:rPr>
            </w:pPr>
            <w:r>
              <w:rPr>
                <w:rFonts w:ascii="微软雅黑" w:hAnsi="微软雅黑" w:eastAsia="微软雅黑" w:cs="微软雅黑"/>
                <w:b/>
                <w:bCs/>
                <w:spacing w:val="9"/>
                <w:sz w:val="18"/>
                <w:szCs w:val="18"/>
              </w:rPr>
              <w:t>征收标准</w:t>
            </w:r>
          </w:p>
        </w:tc>
        <w:tc>
          <w:tcPr>
            <w:tcW w:w="2066" w:type="dxa"/>
            <w:tcBorders>
              <w:top w:val="single" w:color="000000" w:sz="6" w:space="0"/>
              <w:right w:val="single" w:color="000000" w:sz="6" w:space="0"/>
            </w:tcBorders>
            <w:vAlign w:val="top"/>
          </w:tcPr>
          <w:p>
            <w:pPr>
              <w:spacing w:before="271" w:line="189" w:lineRule="auto"/>
              <w:ind w:left="734"/>
              <w:rPr>
                <w:rFonts w:ascii="微软雅黑" w:hAnsi="微软雅黑" w:eastAsia="微软雅黑" w:cs="微软雅黑"/>
                <w:sz w:val="18"/>
                <w:szCs w:val="18"/>
              </w:rPr>
            </w:pPr>
            <w:r>
              <w:rPr>
                <w:rFonts w:ascii="微软雅黑" w:hAnsi="微软雅黑" w:eastAsia="微软雅黑" w:cs="微软雅黑"/>
                <w:b/>
                <w:bCs/>
                <w:spacing w:val="6"/>
                <w:sz w:val="18"/>
                <w:szCs w:val="18"/>
              </w:rPr>
              <w:t>备</w:t>
            </w:r>
            <w:r>
              <w:rPr>
                <w:rFonts w:ascii="微软雅黑" w:hAnsi="微软雅黑" w:eastAsia="微软雅黑" w:cs="微软雅黑"/>
                <w:b/>
                <w:bCs/>
                <w:spacing w:val="10"/>
                <w:sz w:val="18"/>
                <w:szCs w:val="18"/>
              </w:rPr>
              <w:t xml:space="preserve">   </w:t>
            </w:r>
            <w:r>
              <w:rPr>
                <w:rFonts w:ascii="微软雅黑" w:hAnsi="微软雅黑" w:eastAsia="微软雅黑" w:cs="微软雅黑"/>
                <w:b/>
                <w:bCs/>
                <w:spacing w:val="6"/>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468"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196"/>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71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7" w:right="33" w:firstLine="17"/>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9"/>
                <w:sz w:val="18"/>
                <w:szCs w:val="18"/>
                <w14:textFill>
                  <w14:solidFill>
                    <w14:schemeClr w14:val="tx1"/>
                  </w14:solidFill>
                </w14:textFill>
              </w:rPr>
              <w:t>国家重</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大水利</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工程建</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设基金</w:t>
            </w:r>
          </w:p>
        </w:tc>
        <w:tc>
          <w:tcPr>
            <w:tcW w:w="713"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27" w:right="30" w:hanging="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缴入中央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和地方国</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库</w:t>
            </w:r>
          </w:p>
        </w:tc>
        <w:tc>
          <w:tcPr>
            <w:tcW w:w="3861"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74" w:line="267" w:lineRule="auto"/>
              <w:ind w:left="28"/>
              <w:jc w:val="both"/>
              <w:textAlignment w:val="baseline"/>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财综〔2009〕90</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号，财综〔2010〕97</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财税〔2010〕44</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号，财综〔2013〕103</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财税〔2015〕80</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号，财办税〔2015〕4</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财税〔2017〕51</w:t>
            </w:r>
            <w:r>
              <w:rPr>
                <w:rFonts w:hint="eastAsia" w:asciiTheme="minorEastAsia" w:hAnsiTheme="minorEastAsia" w:eastAsiaTheme="minorEastAsia" w:cstheme="minorEastAsia"/>
                <w:color w:val="000000" w:themeColor="text1"/>
                <w:spacing w:val="-2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号，财办税〔2017〕60</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陕财税〔2017〕43</w:t>
            </w:r>
            <w:r>
              <w:rPr>
                <w:rFonts w:hint="eastAsia" w:asciiTheme="minorEastAsia" w:hAnsiTheme="minorEastAsia" w:eastAsiaTheme="minorEastAsia" w:cstheme="minorEastAsia"/>
                <w:color w:val="000000" w:themeColor="text1"/>
                <w:spacing w:val="-2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号，财税〔2018〕39</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陕财税〔2018〕7</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号，财税〔2019〕46</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陕财税〔2019〕15</w:t>
            </w: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号，陕财办税〔2020〕4</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号</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陕财税〔2024〕7号</w:t>
            </w:r>
          </w:p>
        </w:tc>
        <w:tc>
          <w:tcPr>
            <w:tcW w:w="926"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65"/>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税务机关</w:t>
            </w:r>
          </w:p>
        </w:tc>
        <w:tc>
          <w:tcPr>
            <w:tcW w:w="2235"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32" w:right="25" w:firstLine="1"/>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在扣除农业排灌用电以外的省内全部销售电量和企业自备电厂自发自用电量中提取。</w:t>
            </w:r>
          </w:p>
        </w:tc>
        <w:tc>
          <w:tcPr>
            <w:tcW w:w="305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3"/>
              <w:bidi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附加在电价上征收，1.125</w:t>
            </w: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厘/千瓦</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时</w:t>
            </w:r>
          </w:p>
        </w:tc>
        <w:tc>
          <w:tcPr>
            <w:tcW w:w="2066"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41" w:right="23" w:firstLine="17"/>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国家重大水利建设基金</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征收至</w:t>
            </w:r>
            <w:r>
              <w:rPr>
                <w:rFonts w:hint="eastAsia" w:asciiTheme="minorEastAsia" w:hAnsiTheme="minorEastAsia" w:eastAsiaTheme="minorEastAsia" w:cstheme="minorEastAsia"/>
                <w:color w:val="000000" w:themeColor="text1"/>
                <w:spacing w:val="-3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2025</w:t>
            </w:r>
            <w:r>
              <w:rPr>
                <w:rFonts w:hint="eastAsia" w:asciiTheme="minorEastAsia" w:hAnsiTheme="minorEastAsia" w:eastAsiaTheme="minorEastAsia" w:cstheme="minorEastAsia"/>
                <w:color w:val="000000" w:themeColor="text1"/>
                <w:spacing w:val="-4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12</w:t>
            </w:r>
            <w:r>
              <w:rPr>
                <w:rFonts w:hint="eastAsia" w:asciiTheme="minorEastAsia" w:hAnsiTheme="minorEastAsia" w:eastAsiaTheme="minorEastAsia" w:cstheme="minorEastAsia"/>
                <w:color w:val="000000" w:themeColor="text1"/>
                <w:spacing w:val="-4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4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31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trPr>
        <w:tc>
          <w:tcPr>
            <w:tcW w:w="468" w:type="dxa"/>
            <w:tcBorders>
              <w:left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183"/>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p>
        </w:tc>
        <w:tc>
          <w:tcPr>
            <w:tcW w:w="71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27" w:right="88"/>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水利建</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设基金</w:t>
            </w:r>
          </w:p>
        </w:tc>
        <w:tc>
          <w:tcPr>
            <w:tcW w:w="713"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7" w:right="30" w:hanging="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缴入中央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和地方国</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库</w:t>
            </w:r>
          </w:p>
        </w:tc>
        <w:tc>
          <w:tcPr>
            <w:tcW w:w="386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jc w:val="right"/>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财综字〔1998〕125</w:t>
            </w: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号，财综〔2011〕2</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w:t>
            </w:r>
          </w:p>
          <w:p>
            <w:pPr>
              <w:pStyle w:val="7"/>
              <w:keepNext w:val="0"/>
              <w:keepLines w:val="0"/>
              <w:pageBreakBefore w:val="0"/>
              <w:widowControl/>
              <w:kinsoku w:val="0"/>
              <w:wordWrap/>
              <w:overflowPunct/>
              <w:topLinePunct w:val="0"/>
              <w:autoSpaceDE w:val="0"/>
              <w:autoSpaceDN w:val="0"/>
              <w:bidi w:val="0"/>
              <w:adjustRightInd w:val="0"/>
              <w:snapToGrid w:val="0"/>
              <w:spacing w:before="24" w:line="267" w:lineRule="auto"/>
              <w:ind w:left="28"/>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财综函〔2011〕33</w:t>
            </w:r>
            <w:r>
              <w:rPr>
                <w:rFonts w:hint="eastAsia" w:asciiTheme="minorEastAsia" w:hAnsiTheme="minorEastAsia" w:eastAsiaTheme="minorEastAsia" w:cstheme="minorEastAsia"/>
                <w:color w:val="000000" w:themeColor="text1"/>
                <w:spacing w:val="-1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号，财办综〔2011〕111</w:t>
            </w:r>
          </w:p>
          <w:p>
            <w:pPr>
              <w:pStyle w:val="7"/>
              <w:keepNext w:val="0"/>
              <w:keepLines w:val="0"/>
              <w:pageBreakBefore w:val="0"/>
              <w:widowControl/>
              <w:kinsoku w:val="0"/>
              <w:wordWrap/>
              <w:overflowPunct/>
              <w:topLinePunct w:val="0"/>
              <w:autoSpaceDE w:val="0"/>
              <w:autoSpaceDN w:val="0"/>
              <w:bidi w:val="0"/>
              <w:adjustRightInd w:val="0"/>
              <w:snapToGrid w:val="0"/>
              <w:spacing w:before="24" w:line="267" w:lineRule="auto"/>
              <w:jc w:val="left"/>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号，陕财办综〔2015〕154</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号，财税函〔2016〕</w:t>
            </w:r>
          </w:p>
          <w:p>
            <w:pPr>
              <w:pStyle w:val="7"/>
              <w:keepNext w:val="0"/>
              <w:keepLines w:val="0"/>
              <w:pageBreakBefore w:val="0"/>
              <w:widowControl/>
              <w:kinsoku w:val="0"/>
              <w:wordWrap/>
              <w:overflowPunct/>
              <w:topLinePunct w:val="0"/>
              <w:autoSpaceDE w:val="0"/>
              <w:autoSpaceDN w:val="0"/>
              <w:bidi w:val="0"/>
              <w:adjustRightInd w:val="0"/>
              <w:snapToGrid w:val="0"/>
              <w:spacing w:before="24" w:line="267" w:lineRule="auto"/>
              <w:jc w:val="left"/>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291</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号，财税〔2016〕12</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号，财税〔2017〕</w:t>
            </w:r>
          </w:p>
          <w:p>
            <w:pPr>
              <w:pStyle w:val="7"/>
              <w:keepNext w:val="0"/>
              <w:keepLines w:val="0"/>
              <w:pageBreakBefore w:val="0"/>
              <w:widowControl/>
              <w:kinsoku w:val="0"/>
              <w:wordWrap/>
              <w:overflowPunct/>
              <w:topLinePunct w:val="0"/>
              <w:autoSpaceDE w:val="0"/>
              <w:autoSpaceDN w:val="0"/>
              <w:bidi w:val="0"/>
              <w:adjustRightInd w:val="0"/>
              <w:snapToGrid w:val="0"/>
              <w:spacing w:before="23" w:line="267" w:lineRule="auto"/>
              <w:ind w:left="4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18</w:t>
            </w:r>
            <w:r>
              <w:rPr>
                <w:rFonts w:hint="eastAsia" w:asciiTheme="minorEastAsia" w:hAnsiTheme="minorEastAsia" w:eastAsiaTheme="minorEastAsia" w:cstheme="minorEastAsia"/>
                <w:color w:val="000000" w:themeColor="text1"/>
                <w:spacing w:val="-2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号，陕财办综〔2017〕17</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号，陕财办综</w:t>
            </w:r>
          </w:p>
          <w:p>
            <w:pPr>
              <w:pStyle w:val="7"/>
              <w:keepNext w:val="0"/>
              <w:keepLines w:val="0"/>
              <w:pageBreakBefore w:val="0"/>
              <w:widowControl/>
              <w:kinsoku w:val="0"/>
              <w:wordWrap/>
              <w:overflowPunct/>
              <w:topLinePunct w:val="0"/>
              <w:autoSpaceDE w:val="0"/>
              <w:autoSpaceDN w:val="0"/>
              <w:bidi w:val="0"/>
              <w:adjustRightInd w:val="0"/>
              <w:snapToGrid w:val="0"/>
              <w:spacing w:before="25" w:line="267" w:lineRule="auto"/>
              <w:ind w:left="54"/>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〔2018〕3</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号，陕财办综〔2019〕25</w:t>
            </w:r>
            <w:r>
              <w:rPr>
                <w:rFonts w:hint="eastAsia" w:asciiTheme="minorEastAsia" w:hAnsiTheme="minorEastAsia" w:eastAsiaTheme="minorEastAsia" w:cstheme="minorEastAsia"/>
                <w:color w:val="000000" w:themeColor="text1"/>
                <w:spacing w:val="-2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号，</w:t>
            </w:r>
          </w:p>
          <w:p>
            <w:pPr>
              <w:pStyle w:val="7"/>
              <w:keepNext w:val="0"/>
              <w:keepLines w:val="0"/>
              <w:pageBreakBefore w:val="0"/>
              <w:widowControl/>
              <w:kinsoku w:val="0"/>
              <w:wordWrap/>
              <w:overflowPunct/>
              <w:topLinePunct w:val="0"/>
              <w:autoSpaceDE w:val="0"/>
              <w:autoSpaceDN w:val="0"/>
              <w:bidi w:val="0"/>
              <w:adjustRightInd w:val="0"/>
              <w:snapToGrid w:val="0"/>
              <w:spacing w:before="28" w:line="267" w:lineRule="auto"/>
              <w:ind w:left="28" w:firstLine="13"/>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陕财办税〔2020〕4</w:t>
            </w: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号，陕财办综〔2021〕</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9</w:t>
            </w:r>
            <w:r>
              <w:rPr>
                <w:rFonts w:hint="eastAsia" w:asciiTheme="minorEastAsia" w:hAnsiTheme="minorEastAsia" w:eastAsiaTheme="minorEastAsia" w:cstheme="minorEastAsia"/>
                <w:color w:val="000000" w:themeColor="text1"/>
                <w:spacing w:val="-1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号，财税发〔2023〕9</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号，陕财办预〔2023〕</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57</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p>
        </w:tc>
        <w:tc>
          <w:tcPr>
            <w:tcW w:w="926"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税务机关</w:t>
            </w:r>
          </w:p>
        </w:tc>
        <w:tc>
          <w:tcPr>
            <w:tcW w:w="2235"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5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中央水利建设基金从车</w:t>
            </w:r>
          </w:p>
          <w:p>
            <w:pPr>
              <w:pStyle w:val="7"/>
              <w:keepNext w:val="0"/>
              <w:keepLines w:val="0"/>
              <w:pageBreakBefore w:val="0"/>
              <w:widowControl/>
              <w:kinsoku w:val="0"/>
              <w:wordWrap/>
              <w:overflowPunct/>
              <w:topLinePunct w:val="0"/>
              <w:autoSpaceDE w:val="0"/>
              <w:autoSpaceDN w:val="0"/>
              <w:bidi w:val="0"/>
              <w:adjustRightInd w:val="0"/>
              <w:snapToGrid w:val="0"/>
              <w:spacing w:before="23" w:line="267" w:lineRule="auto"/>
              <w:ind w:left="34" w:right="23" w:hanging="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辆购置税、铁路建设基金</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等收入中提取；地方水利</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建设基金从地方收取的</w:t>
            </w:r>
          </w:p>
          <w:p>
            <w:pPr>
              <w:pStyle w:val="7"/>
              <w:keepNext w:val="0"/>
              <w:keepLines w:val="0"/>
              <w:pageBreakBefore w:val="0"/>
              <w:widowControl/>
              <w:kinsoku w:val="0"/>
              <w:wordWrap/>
              <w:overflowPunct/>
              <w:topLinePunct w:val="0"/>
              <w:autoSpaceDE w:val="0"/>
              <w:autoSpaceDN w:val="0"/>
              <w:bidi w:val="0"/>
              <w:adjustRightInd w:val="0"/>
              <w:snapToGrid w:val="0"/>
              <w:spacing w:before="21" w:line="267" w:lineRule="auto"/>
              <w:ind w:left="35" w:right="23"/>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部分税费收入中提取，省</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级收入从国家对本省成</w:t>
            </w:r>
          </w:p>
          <w:p>
            <w:pPr>
              <w:pStyle w:val="7"/>
              <w:keepNext w:val="0"/>
              <w:keepLines w:val="0"/>
              <w:pageBreakBefore w:val="0"/>
              <w:widowControl/>
              <w:kinsoku w:val="0"/>
              <w:wordWrap/>
              <w:overflowPunct/>
              <w:topLinePunct w:val="0"/>
              <w:autoSpaceDE w:val="0"/>
              <w:autoSpaceDN w:val="0"/>
              <w:bidi w:val="0"/>
              <w:adjustRightInd w:val="0"/>
              <w:snapToGrid w:val="0"/>
              <w:spacing w:before="27" w:line="267" w:lineRule="auto"/>
              <w:ind w:left="49"/>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品油价格和税费改革转</w:t>
            </w:r>
          </w:p>
          <w:p>
            <w:pPr>
              <w:pStyle w:val="7"/>
              <w:keepNext w:val="0"/>
              <w:keepLines w:val="0"/>
              <w:pageBreakBefore w:val="0"/>
              <w:widowControl/>
              <w:kinsoku w:val="0"/>
              <w:wordWrap/>
              <w:overflowPunct/>
              <w:topLinePunct w:val="0"/>
              <w:autoSpaceDE w:val="0"/>
              <w:autoSpaceDN w:val="0"/>
              <w:bidi w:val="0"/>
              <w:adjustRightInd w:val="0"/>
              <w:snapToGrid w:val="0"/>
              <w:spacing w:before="26" w:line="267" w:lineRule="auto"/>
              <w:ind w:left="33"/>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移支付资金中按每年</w:t>
            </w:r>
          </w:p>
          <w:p>
            <w:pPr>
              <w:pStyle w:val="7"/>
              <w:keepNext w:val="0"/>
              <w:keepLines w:val="0"/>
              <w:pageBreakBefore w:val="0"/>
              <w:widowControl/>
              <w:kinsoku w:val="0"/>
              <w:wordWrap/>
              <w:overflowPunct/>
              <w:topLinePunct w:val="0"/>
              <w:autoSpaceDE w:val="0"/>
              <w:autoSpaceDN w:val="0"/>
              <w:bidi w:val="0"/>
              <w:adjustRightInd w:val="0"/>
              <w:snapToGrid w:val="0"/>
              <w:spacing w:before="24" w:line="267" w:lineRule="auto"/>
              <w:ind w:left="34" w:right="23"/>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2200</w:t>
            </w:r>
            <w:r>
              <w:rPr>
                <w:rFonts w:hint="eastAsia" w:asciiTheme="minorEastAsia" w:hAnsiTheme="minorEastAsia" w:eastAsiaTheme="minorEastAsia" w:cstheme="minorEastAsia"/>
                <w:color w:val="000000" w:themeColor="text1"/>
                <w:spacing w:val="-2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万元的标准划转；从</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车辆通行费收入中划转</w:t>
            </w:r>
          </w:p>
          <w:p>
            <w:pPr>
              <w:pStyle w:val="7"/>
              <w:keepNext w:val="0"/>
              <w:keepLines w:val="0"/>
              <w:pageBreakBefore w:val="0"/>
              <w:widowControl/>
              <w:kinsoku w:val="0"/>
              <w:wordWrap/>
              <w:overflowPunct/>
              <w:topLinePunct w:val="0"/>
              <w:autoSpaceDE w:val="0"/>
              <w:autoSpaceDN w:val="0"/>
              <w:bidi w:val="0"/>
              <w:adjustRightInd w:val="0"/>
              <w:snapToGrid w:val="0"/>
              <w:spacing w:before="24" w:line="267" w:lineRule="auto"/>
              <w:ind w:left="36"/>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position w:val="1"/>
                <w:sz w:val="18"/>
                <w:szCs w:val="18"/>
                <w14:textFill>
                  <w14:solidFill>
                    <w14:schemeClr w14:val="tx1"/>
                  </w14:solidFill>
                </w14:textFill>
              </w:rPr>
              <w:t>3%。</w:t>
            </w:r>
          </w:p>
        </w:tc>
        <w:tc>
          <w:tcPr>
            <w:tcW w:w="3051" w:type="dxa"/>
            <w:tcBorders>
              <w:bottom w:val="single" w:color="000000" w:sz="6"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93" w:line="267" w:lineRule="auto"/>
              <w:ind w:left="34" w:right="20" w:firstLine="9"/>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（1）</w:t>
            </w:r>
            <w:r>
              <w:rPr>
                <w:rFonts w:hint="eastAsia" w:asciiTheme="minorEastAsia" w:hAnsiTheme="minorEastAsia" w:eastAsiaTheme="minorEastAsia" w:cstheme="minorEastAsia"/>
                <w:color w:val="000000" w:themeColor="text1"/>
                <w:spacing w:val="-5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除村集体所属的单位及个人</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外，企业事业单位及个人使用水浇</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地、水田、旱地进行非农建设的，</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每亩分别一次性征收</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800</w:t>
            </w:r>
            <w:r>
              <w:rPr>
                <w:rFonts w:hint="eastAsia" w:asciiTheme="minorEastAsia" w:hAnsiTheme="minorEastAsia" w:eastAsiaTheme="minorEastAsia" w:cstheme="minorEastAsia"/>
                <w:color w:val="000000" w:themeColor="text1"/>
                <w:spacing w:val="-3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元</w:t>
            </w:r>
            <w:r>
              <w:rPr>
                <w:rFonts w:hint="eastAsia" w:asciiTheme="minorEastAsia" w:hAnsiTheme="minorEastAsia" w:eastAsiaTheme="minorEastAsia" w:cstheme="minorEastAsia"/>
                <w:color w:val="000000" w:themeColor="text1"/>
                <w:spacing w:val="-6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w:t>
            </w:r>
            <w:r>
              <w:rPr>
                <w:rFonts w:hint="eastAsia" w:asciiTheme="minorEastAsia" w:hAnsiTheme="minorEastAsia" w:eastAsiaTheme="minorEastAsia" w:cstheme="minorEastAsia"/>
                <w:color w:val="000000" w:themeColor="text1"/>
                <w:spacing w:val="-7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1000</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元、500</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元</w:t>
            </w:r>
            <w:r>
              <w:rPr>
                <w:rFonts w:hint="eastAsia" w:asciiTheme="minorEastAsia" w:hAnsiTheme="minorEastAsia" w:eastAsiaTheme="minorEastAsia" w:cstheme="minorEastAsia"/>
                <w:color w:val="000000" w:themeColor="text1"/>
                <w:spacing w:val="-7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―700</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元、300</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元</w:t>
            </w:r>
            <w:r>
              <w:rPr>
                <w:rFonts w:hint="eastAsia" w:asciiTheme="minorEastAsia" w:hAnsiTheme="minorEastAsia" w:eastAsiaTheme="minorEastAsia" w:cstheme="minorEastAsia"/>
                <w:color w:val="000000" w:themeColor="text1"/>
                <w:spacing w:val="-7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―500</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元，使用其他土地每亩一次性征收</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200</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元。</w:t>
            </w:r>
          </w:p>
          <w:p>
            <w:pPr>
              <w:pStyle w:val="7"/>
              <w:keepNext w:val="0"/>
              <w:keepLines w:val="0"/>
              <w:pageBreakBefore w:val="0"/>
              <w:widowControl/>
              <w:kinsoku w:val="0"/>
              <w:wordWrap/>
              <w:overflowPunct/>
              <w:topLinePunct w:val="0"/>
              <w:autoSpaceDE w:val="0"/>
              <w:autoSpaceDN w:val="0"/>
              <w:bidi w:val="0"/>
              <w:adjustRightInd w:val="0"/>
              <w:snapToGrid w:val="0"/>
              <w:spacing w:before="21" w:line="267" w:lineRule="auto"/>
              <w:ind w:left="35" w:right="21" w:firstLine="9"/>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（2）银行按利息收入的</w:t>
            </w:r>
            <w:r>
              <w:rPr>
                <w:rFonts w:hint="eastAsia" w:asciiTheme="minorEastAsia" w:hAnsiTheme="minorEastAsia" w:eastAsiaTheme="minorEastAsia" w:cstheme="minorEastAsia"/>
                <w:color w:val="000000" w:themeColor="text1"/>
                <w:spacing w:val="-3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0.5‰，保</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险公司按保费收入的</w:t>
            </w:r>
            <w:r>
              <w:rPr>
                <w:rFonts w:hint="eastAsia" w:asciiTheme="minorEastAsia" w:hAnsiTheme="minorEastAsia" w:eastAsiaTheme="minorEastAsia" w:cstheme="minorEastAsia"/>
                <w:color w:val="000000" w:themeColor="text1"/>
                <w:spacing w:val="-2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0.5‰</w:t>
            </w:r>
            <w:r>
              <w:rPr>
                <w:rFonts w:hint="eastAsia" w:asciiTheme="minorEastAsia" w:hAnsiTheme="minorEastAsia" w:eastAsiaTheme="minorEastAsia" w:cstheme="minorEastAsia"/>
                <w:color w:val="000000" w:themeColor="text1"/>
                <w:spacing w:val="-6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，依法</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设立的非银行金融机构按主营业</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务收入的</w:t>
            </w: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1‰</w:t>
            </w:r>
            <w:r>
              <w:rPr>
                <w:rFonts w:hint="eastAsia" w:asciiTheme="minorEastAsia" w:hAnsiTheme="minorEastAsia" w:eastAsiaTheme="minorEastAsia" w:cstheme="minorEastAsia"/>
                <w:color w:val="000000" w:themeColor="text1"/>
                <w:spacing w:val="-6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，其它企业事业单位</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和个体经营者按销售商品收入和</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提供劳务收入的</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0.8‰缴纳水利建</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设基金。</w:t>
            </w:r>
          </w:p>
        </w:tc>
        <w:tc>
          <w:tcPr>
            <w:tcW w:w="2066" w:type="dxa"/>
            <w:tcBorders>
              <w:bottom w:val="single" w:color="000000" w:sz="6" w:space="0"/>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9" w:right="23" w:firstLine="1"/>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水利建设基金起征点与</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增值税起征点相同。水</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利建设基金可计入成</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本。水利建设基金收入</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由各级征收部门就地征</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收、分级入库。</w:t>
            </w:r>
          </w:p>
        </w:tc>
      </w:tr>
    </w:tbl>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sectPr>
          <w:footerReference r:id="rId5" w:type="default"/>
          <w:pgSz w:w="16839" w:h="11906"/>
          <w:pgMar w:top="1012" w:right="1396" w:bottom="1027" w:left="1395" w:header="0" w:footer="848" w:gutter="0"/>
          <w:cols w:space="720" w:num="1"/>
        </w:sectPr>
      </w:pPr>
    </w:p>
    <w:p>
      <w:pPr>
        <w:spacing w:before="107"/>
        <w:rPr>
          <w:rFonts w:hint="eastAsia" w:asciiTheme="minorEastAsia" w:hAnsiTheme="minorEastAsia" w:eastAsiaTheme="minorEastAsia" w:cstheme="minorEastAsia"/>
          <w:sz w:val="18"/>
          <w:szCs w:val="18"/>
        </w:rPr>
      </w:pPr>
    </w:p>
    <w:tbl>
      <w:tblPr>
        <w:tblStyle w:val="6"/>
        <w:tblW w:w="140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711"/>
        <w:gridCol w:w="871"/>
        <w:gridCol w:w="3703"/>
        <w:gridCol w:w="926"/>
        <w:gridCol w:w="2235"/>
        <w:gridCol w:w="3051"/>
        <w:gridCol w:w="2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468" w:type="dxa"/>
            <w:tcBorders>
              <w:top w:val="single" w:color="000000" w:sz="6" w:space="0"/>
              <w:left w:val="single" w:color="000000" w:sz="6" w:space="0"/>
            </w:tcBorders>
            <w:vAlign w:val="top"/>
          </w:tcPr>
          <w:p>
            <w:pPr>
              <w:spacing w:before="121" w:line="205" w:lineRule="auto"/>
              <w:ind w:left="25" w:right="3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项目</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pacing w:val="7"/>
                <w:sz w:val="18"/>
                <w:szCs w:val="18"/>
              </w:rPr>
              <w:t>序号</w:t>
            </w:r>
          </w:p>
        </w:tc>
        <w:tc>
          <w:tcPr>
            <w:tcW w:w="711" w:type="dxa"/>
            <w:tcBorders>
              <w:top w:val="single" w:color="000000" w:sz="6" w:space="0"/>
            </w:tcBorders>
            <w:vAlign w:val="top"/>
          </w:tcPr>
          <w:p>
            <w:pPr>
              <w:spacing w:before="120" w:line="229" w:lineRule="auto"/>
              <w:ind w:left="150"/>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项目</w:t>
            </w:r>
          </w:p>
          <w:p>
            <w:pPr>
              <w:spacing w:line="181" w:lineRule="auto"/>
              <w:ind w:left="150"/>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名称</w:t>
            </w:r>
          </w:p>
        </w:tc>
        <w:tc>
          <w:tcPr>
            <w:tcW w:w="871" w:type="dxa"/>
            <w:tcBorders>
              <w:top w:val="single" w:color="000000" w:sz="6" w:space="0"/>
            </w:tcBorders>
            <w:vAlign w:val="top"/>
          </w:tcPr>
          <w:p>
            <w:pPr>
              <w:spacing w:before="112" w:line="208" w:lineRule="auto"/>
              <w:ind w:left="230" w:right="40" w:hanging="201"/>
              <w:rPr>
                <w:rFonts w:hint="eastAsia" w:ascii="微软雅黑" w:hAnsi="微软雅黑" w:eastAsia="微软雅黑" w:cs="微软雅黑"/>
                <w:sz w:val="18"/>
                <w:szCs w:val="18"/>
              </w:rPr>
            </w:pPr>
            <w:r>
              <w:rPr>
                <w:rFonts w:hint="eastAsia" w:ascii="微软雅黑" w:hAnsi="微软雅黑" w:eastAsia="微软雅黑" w:cs="微软雅黑"/>
                <w:b/>
                <w:bCs/>
                <w:spacing w:val="8"/>
                <w:sz w:val="18"/>
                <w:szCs w:val="18"/>
              </w:rPr>
              <w:t>资金管理</w:t>
            </w:r>
            <w:r>
              <w:rPr>
                <w:rFonts w:hint="eastAsia" w:ascii="微软雅黑" w:hAnsi="微软雅黑" w:eastAsia="微软雅黑" w:cs="微软雅黑"/>
                <w:b/>
                <w:bCs/>
                <w:spacing w:val="2"/>
                <w:sz w:val="18"/>
                <w:szCs w:val="18"/>
              </w:rPr>
              <w:t xml:space="preserve"> </w:t>
            </w:r>
            <w:r>
              <w:rPr>
                <w:rFonts w:hint="eastAsia" w:ascii="微软雅黑" w:hAnsi="微软雅黑" w:eastAsia="微软雅黑" w:cs="微软雅黑"/>
                <w:b/>
                <w:bCs/>
                <w:spacing w:val="7"/>
                <w:sz w:val="18"/>
                <w:szCs w:val="18"/>
              </w:rPr>
              <w:t>方式</w:t>
            </w:r>
          </w:p>
        </w:tc>
        <w:tc>
          <w:tcPr>
            <w:tcW w:w="3703" w:type="dxa"/>
            <w:tcBorders>
              <w:top w:val="single" w:color="000000" w:sz="6" w:space="0"/>
            </w:tcBorders>
            <w:vAlign w:val="top"/>
          </w:tcPr>
          <w:p>
            <w:pPr>
              <w:spacing w:before="272" w:line="190" w:lineRule="auto"/>
              <w:ind w:left="1447"/>
              <w:rPr>
                <w:rFonts w:hint="eastAsia" w:ascii="微软雅黑" w:hAnsi="微软雅黑" w:eastAsia="微软雅黑" w:cs="微软雅黑"/>
                <w:sz w:val="18"/>
                <w:szCs w:val="18"/>
              </w:rPr>
            </w:pPr>
            <w:r>
              <w:rPr>
                <w:rFonts w:hint="eastAsia" w:ascii="微软雅黑" w:hAnsi="微软雅黑" w:eastAsia="微软雅黑" w:cs="微软雅黑"/>
                <w:b/>
                <w:bCs/>
                <w:spacing w:val="9"/>
                <w:sz w:val="18"/>
                <w:szCs w:val="18"/>
              </w:rPr>
              <w:t>政策依据</w:t>
            </w:r>
          </w:p>
        </w:tc>
        <w:tc>
          <w:tcPr>
            <w:tcW w:w="926" w:type="dxa"/>
            <w:tcBorders>
              <w:top w:val="single" w:color="000000" w:sz="6" w:space="0"/>
            </w:tcBorders>
            <w:vAlign w:val="top"/>
          </w:tcPr>
          <w:p>
            <w:pPr>
              <w:spacing w:before="112" w:line="208" w:lineRule="auto"/>
              <w:ind w:left="88" w:right="63" w:hanging="27"/>
              <w:rPr>
                <w:rFonts w:hint="eastAsia" w:ascii="微软雅黑" w:hAnsi="微软雅黑" w:eastAsia="微软雅黑" w:cs="微软雅黑"/>
                <w:sz w:val="18"/>
                <w:szCs w:val="18"/>
              </w:rPr>
            </w:pPr>
            <w:r>
              <w:rPr>
                <w:rFonts w:hint="eastAsia" w:ascii="微软雅黑" w:hAnsi="微软雅黑" w:eastAsia="微软雅黑" w:cs="微软雅黑"/>
                <w:b/>
                <w:bCs/>
                <w:spacing w:val="8"/>
                <w:sz w:val="18"/>
                <w:szCs w:val="18"/>
              </w:rPr>
              <w:t>执收部门</w:t>
            </w:r>
            <w:r>
              <w:rPr>
                <w:rFonts w:hint="eastAsia" w:ascii="微软雅黑" w:hAnsi="微软雅黑" w:eastAsia="微软雅黑" w:cs="微软雅黑"/>
                <w:b/>
                <w:bCs/>
                <w:spacing w:val="2"/>
                <w:sz w:val="18"/>
                <w:szCs w:val="18"/>
              </w:rPr>
              <w:t xml:space="preserve"> </w:t>
            </w:r>
            <w:r>
              <w:rPr>
                <w:rFonts w:hint="eastAsia" w:ascii="微软雅黑" w:hAnsi="微软雅黑" w:eastAsia="微软雅黑" w:cs="微软雅黑"/>
                <w:b/>
                <w:bCs/>
                <w:spacing w:val="-1"/>
                <w:sz w:val="18"/>
                <w:szCs w:val="18"/>
              </w:rPr>
              <w:t>（单位）</w:t>
            </w:r>
          </w:p>
        </w:tc>
        <w:tc>
          <w:tcPr>
            <w:tcW w:w="2235" w:type="dxa"/>
            <w:tcBorders>
              <w:top w:val="single" w:color="000000" w:sz="6" w:space="0"/>
            </w:tcBorders>
            <w:vAlign w:val="top"/>
          </w:tcPr>
          <w:p>
            <w:pPr>
              <w:spacing w:before="273" w:line="189" w:lineRule="auto"/>
              <w:ind w:left="719"/>
              <w:rPr>
                <w:rFonts w:hint="eastAsia" w:ascii="微软雅黑" w:hAnsi="微软雅黑" w:eastAsia="微软雅黑" w:cs="微软雅黑"/>
                <w:sz w:val="18"/>
                <w:szCs w:val="18"/>
              </w:rPr>
            </w:pPr>
            <w:r>
              <w:rPr>
                <w:rFonts w:hint="eastAsia" w:ascii="微软雅黑" w:hAnsi="微软雅黑" w:eastAsia="微软雅黑" w:cs="微软雅黑"/>
                <w:b/>
                <w:bCs/>
                <w:spacing w:val="9"/>
                <w:sz w:val="18"/>
                <w:szCs w:val="18"/>
              </w:rPr>
              <w:t>征收对象</w:t>
            </w:r>
          </w:p>
        </w:tc>
        <w:tc>
          <w:tcPr>
            <w:tcW w:w="3051" w:type="dxa"/>
            <w:tcBorders>
              <w:top w:val="single" w:color="000000" w:sz="6" w:space="0"/>
            </w:tcBorders>
            <w:vAlign w:val="top"/>
          </w:tcPr>
          <w:p>
            <w:pPr>
              <w:spacing w:before="272" w:line="190" w:lineRule="auto"/>
              <w:ind w:left="1128"/>
              <w:rPr>
                <w:rFonts w:hint="eastAsia" w:ascii="微软雅黑" w:hAnsi="微软雅黑" w:eastAsia="微软雅黑" w:cs="微软雅黑"/>
                <w:sz w:val="18"/>
                <w:szCs w:val="18"/>
              </w:rPr>
            </w:pPr>
            <w:r>
              <w:rPr>
                <w:rFonts w:hint="eastAsia" w:ascii="微软雅黑" w:hAnsi="微软雅黑" w:eastAsia="微软雅黑" w:cs="微软雅黑"/>
                <w:b/>
                <w:bCs/>
                <w:spacing w:val="9"/>
                <w:sz w:val="18"/>
                <w:szCs w:val="18"/>
              </w:rPr>
              <w:t>征收标准</w:t>
            </w:r>
          </w:p>
        </w:tc>
        <w:tc>
          <w:tcPr>
            <w:tcW w:w="2066" w:type="dxa"/>
            <w:tcBorders>
              <w:top w:val="single" w:color="000000" w:sz="6" w:space="0"/>
              <w:right w:val="single" w:color="000000" w:sz="6" w:space="0"/>
            </w:tcBorders>
            <w:vAlign w:val="top"/>
          </w:tcPr>
          <w:p>
            <w:pPr>
              <w:spacing w:before="273" w:line="189" w:lineRule="auto"/>
              <w:ind w:left="73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备</w:t>
            </w:r>
            <w:r>
              <w:rPr>
                <w:rFonts w:hint="eastAsia" w:ascii="微软雅黑" w:hAnsi="微软雅黑" w:eastAsia="微软雅黑" w:cs="微软雅黑"/>
                <w:b/>
                <w:bCs/>
                <w:spacing w:val="10"/>
                <w:sz w:val="18"/>
                <w:szCs w:val="18"/>
              </w:rPr>
              <w:t xml:space="preserve">   </w:t>
            </w:r>
            <w:r>
              <w:rPr>
                <w:rFonts w:hint="eastAsia" w:ascii="微软雅黑" w:hAnsi="微软雅黑" w:eastAsia="微软雅黑" w:cs="微软雅黑"/>
                <w:b/>
                <w:bCs/>
                <w:spacing w:val="6"/>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trPr>
        <w:tc>
          <w:tcPr>
            <w:tcW w:w="468"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185"/>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p>
        </w:tc>
        <w:tc>
          <w:tcPr>
            <w:tcW w:w="71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24" w:right="88"/>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城市基</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础设施</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配套费</w:t>
            </w:r>
          </w:p>
        </w:tc>
        <w:tc>
          <w:tcPr>
            <w:tcW w:w="87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46" w:right="30" w:hanging="2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缴入地方</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国库</w:t>
            </w:r>
          </w:p>
        </w:tc>
        <w:tc>
          <w:tcPr>
            <w:tcW w:w="3703"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27" w:firstLine="19"/>
              <w:jc w:val="both"/>
              <w:textAlignment w:val="baseline"/>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国发〔1998〕34</w:t>
            </w:r>
            <w:r>
              <w:rPr>
                <w:rFonts w:hint="eastAsia" w:asciiTheme="minorEastAsia" w:hAnsiTheme="minorEastAsia" w:eastAsiaTheme="minorEastAsia" w:cstheme="minorEastAsia"/>
                <w:color w:val="000000" w:themeColor="text1"/>
                <w:spacing w:val="-1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号，计价格〔2001〕</w:t>
            </w:r>
            <w:r>
              <w:rPr>
                <w:rFonts w:hint="eastAsia" w:asciiTheme="minorEastAsia" w:hAnsiTheme="minorEastAsia" w:eastAsiaTheme="minorEastAsia" w:cstheme="minorEastAsia"/>
                <w:color w:val="000000" w:themeColor="text1"/>
                <w:spacing w:val="-5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585</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陕政办发〔2001〕93号，</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财综函〔2002〕3</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号，陕价行发〔2</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005〕</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17</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号，陕价商发〔2012〕123</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号，财税〔201</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9〕</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53</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号，陕财税〔2019〕18</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号，财政部 税 务总局 发展改革委</w:t>
            </w:r>
            <w:r>
              <w:rPr>
                <w:rFonts w:hint="eastAsia" w:asciiTheme="minorEastAsia" w:hAnsiTheme="minorEastAsia" w:eastAsiaTheme="minorEastAsia" w:cstheme="minorEastAsia"/>
                <w:color w:val="000000" w:themeColor="text1"/>
                <w:spacing w:val="4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民政部</w:t>
            </w:r>
            <w:r>
              <w:rPr>
                <w:rFonts w:hint="eastAsia" w:asciiTheme="minorEastAsia" w:hAnsiTheme="minorEastAsia" w:eastAsiaTheme="minorEastAsia" w:cstheme="minorEastAsia"/>
                <w:color w:val="000000" w:themeColor="text1"/>
                <w:spacing w:val="2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商务部</w:t>
            </w:r>
            <w:r>
              <w:rPr>
                <w:rFonts w:hint="eastAsia" w:asciiTheme="minorEastAsia" w:hAnsiTheme="minorEastAsia" w:eastAsiaTheme="minorEastAsia" w:cstheme="minorEastAsia"/>
                <w:color w:val="000000" w:themeColor="text1"/>
                <w:spacing w:val="2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卫生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健康委公告</w:t>
            </w:r>
            <w:r>
              <w:rPr>
                <w:rFonts w:hint="eastAsia" w:asciiTheme="minorEastAsia" w:hAnsiTheme="minorEastAsia" w:eastAsiaTheme="minorEastAsia" w:cstheme="minorEastAsia"/>
                <w:color w:val="000000" w:themeColor="text1"/>
                <w:spacing w:val="-4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2019</w:t>
            </w:r>
            <w:r>
              <w:rPr>
                <w:rFonts w:hint="eastAsia" w:asciiTheme="minorEastAsia" w:hAnsiTheme="minorEastAsia" w:eastAsiaTheme="minorEastAsia" w:cstheme="minorEastAsia"/>
                <w:color w:val="000000" w:themeColor="text1"/>
                <w:spacing w:val="-4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年第</w:t>
            </w:r>
            <w:r>
              <w:rPr>
                <w:rFonts w:hint="eastAsia" w:asciiTheme="minorEastAsia" w:hAnsiTheme="minorEastAsia" w:eastAsiaTheme="minorEastAsia" w:cstheme="minorEastAsia"/>
                <w:color w:val="000000" w:themeColor="text1"/>
                <w:spacing w:val="-4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76</w:t>
            </w:r>
            <w:r>
              <w:rPr>
                <w:rFonts w:hint="eastAsia" w:asciiTheme="minorEastAsia" w:hAnsiTheme="minorEastAsia" w:eastAsiaTheme="minorEastAsia" w:cstheme="minorEastAsia"/>
                <w:color w:val="000000" w:themeColor="text1"/>
                <w:spacing w:val="-4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号</w:t>
            </w:r>
          </w:p>
        </w:tc>
        <w:tc>
          <w:tcPr>
            <w:tcW w:w="926"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34" w:right="97" w:firstLine="30"/>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自然资源</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部门</w:t>
            </w:r>
          </w:p>
        </w:tc>
        <w:tc>
          <w:tcPr>
            <w:tcW w:w="2235"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5" w:right="23" w:hanging="3"/>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kern w:val="0"/>
                <w:sz w:val="18"/>
                <w:szCs w:val="18"/>
              </w:rPr>
              <w:t>在我省城市规划区范围内新建、扩建和改建工程项目的单位和个人</w:t>
            </w:r>
          </w:p>
        </w:tc>
        <w:tc>
          <w:tcPr>
            <w:tcW w:w="305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line="267" w:lineRule="auto"/>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kern w:val="0"/>
                <w:sz w:val="18"/>
                <w:szCs w:val="18"/>
              </w:rPr>
              <w:t>全省统一制定征收管理办法，各设区市人民政府根据城镇人口规模大小制定具体标准，8--240元/平方米不等。</w:t>
            </w:r>
          </w:p>
        </w:tc>
        <w:tc>
          <w:tcPr>
            <w:tcW w:w="2066"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8" w:firstLine="3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自</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2019</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7</w:t>
            </w:r>
            <w:r>
              <w:rPr>
                <w:rFonts w:hint="eastAsia" w:asciiTheme="minorEastAsia" w:hAnsiTheme="minorEastAsia" w:eastAsiaTheme="minorEastAsia" w:cstheme="minorEastAsia"/>
                <w:color w:val="000000" w:themeColor="text1"/>
                <w:spacing w:val="-3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1 日起，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对易地扶贫搬迁项目免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征。</w:t>
            </w:r>
            <w:r>
              <w:rPr>
                <w:rFonts w:hint="eastAsia" w:asciiTheme="minorEastAsia" w:hAnsiTheme="minorEastAsia" w:eastAsiaTheme="minorEastAsia" w:cstheme="minorEastAsia"/>
                <w:color w:val="000000" w:themeColor="text1"/>
                <w:spacing w:val="-4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自</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2019</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6</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日至</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2025</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12</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31</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日，用于提供社区养老、</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托育、家政服务的建设 项目免征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4" w:hRule="atLeast"/>
        </w:trPr>
        <w:tc>
          <w:tcPr>
            <w:tcW w:w="468" w:type="dxa"/>
            <w:tcBorders>
              <w:left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180"/>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w:t>
            </w:r>
          </w:p>
        </w:tc>
        <w:tc>
          <w:tcPr>
            <w:tcW w:w="71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40" w:right="33" w:hanging="13"/>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教育费</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附加</w:t>
            </w:r>
          </w:p>
        </w:tc>
        <w:tc>
          <w:tcPr>
            <w:tcW w:w="87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7" w:right="30" w:hanging="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缴入中央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和地方国</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库</w:t>
            </w:r>
          </w:p>
        </w:tc>
        <w:tc>
          <w:tcPr>
            <w:tcW w:w="3703"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6" w:firstLine="6"/>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《中华人民共和国教育法》，国发〔1986〕</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50</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号（国务院令第</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60</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号修改发布</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国发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明电〔1994〕2</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号、23</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号，财综〔2007〕</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53</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号，国发〔2010〕35</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号，财税〔2010〕</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103</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号，财税〔2016〕12</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号，财税〔2018〕</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70</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号，财税〔2019〕13</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号，财税〔2019〕</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21</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号，财税〔2019〕22</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号，陕财税〔2019〕</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5</w:t>
            </w:r>
            <w:r>
              <w:rPr>
                <w:rFonts w:hint="eastAsia" w:asciiTheme="minorEastAsia" w:hAnsiTheme="minorEastAsia" w:eastAsiaTheme="minorEastAsia" w:cstheme="minorEastAsia"/>
                <w:color w:val="000000" w:themeColor="text1"/>
                <w:spacing w:val="-2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号，财税〔2019〕46</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号，陕财税〔2019〕</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15</w:t>
            </w:r>
            <w:r>
              <w:rPr>
                <w:rFonts w:hint="eastAsia" w:asciiTheme="minorEastAsia" w:hAnsiTheme="minorEastAsia" w:eastAsiaTheme="minorEastAsia" w:cstheme="minorEastAsia"/>
                <w:color w:val="000000" w:themeColor="text1"/>
                <w:spacing w:val="-2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号，财政部、税务总局、国家发展改革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委、民政部、商务部、卫生健康委公告</w:t>
            </w:r>
            <w:r>
              <w:rPr>
                <w:rFonts w:hint="eastAsia" w:asciiTheme="minorEastAsia" w:hAnsiTheme="minorEastAsia" w:eastAsiaTheme="minorEastAsia" w:cstheme="minorEastAsia"/>
                <w:color w:val="000000" w:themeColor="text1"/>
                <w:spacing w:val="-2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2019 </w:t>
            </w:r>
            <w:r>
              <w:rPr>
                <w:rFonts w:hint="eastAsia" w:asciiTheme="minorEastAsia" w:hAnsiTheme="minorEastAsia" w:eastAsiaTheme="minorEastAsia" w:cstheme="minorEastAsia"/>
                <w:color w:val="000000" w:themeColor="text1"/>
                <w:sz w:val="18"/>
                <w:szCs w:val="18"/>
                <w14:textFill>
                  <w14:solidFill>
                    <w14:schemeClr w14:val="tx1"/>
                  </w14:solidFill>
                </w14:textFill>
              </w:rPr>
              <w:t>年第</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76</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tc>
        <w:tc>
          <w:tcPr>
            <w:tcW w:w="926"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税务机关</w:t>
            </w:r>
          </w:p>
        </w:tc>
        <w:tc>
          <w:tcPr>
            <w:tcW w:w="2235"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2" w:right="25" w:hanging="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缴纳增值税、消费税的单</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位和个人。</w:t>
            </w:r>
          </w:p>
        </w:tc>
        <w:tc>
          <w:tcPr>
            <w:tcW w:w="3051" w:type="dxa"/>
            <w:tcBorders>
              <w:bottom w:val="single" w:color="000000" w:sz="6"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245" w:line="267" w:lineRule="auto"/>
              <w:ind w:left="33" w:right="21" w:firstLine="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按纳税人实际缴纳的增值税、消费</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税税额的</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3%计征。</w:t>
            </w:r>
            <w:r>
              <w:rPr>
                <w:rFonts w:hint="eastAsia" w:asciiTheme="minorEastAsia" w:hAnsiTheme="minorEastAsia" w:eastAsiaTheme="minorEastAsia" w:cstheme="minorEastAsia"/>
                <w:color w:val="000000" w:themeColor="text1"/>
                <w:sz w:val="18"/>
                <w:szCs w:val="18"/>
                <w14:textFill>
                  <w14:solidFill>
                    <w14:schemeClr w14:val="tx1"/>
                  </w14:solidFill>
                </w14:textFill>
              </w:rPr>
              <w:t>自</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2016</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月 1 日起，纳税的月 销售额或营业额不超过</w:t>
            </w:r>
            <w:r>
              <w:rPr>
                <w:rFonts w:hint="eastAsia" w:asciiTheme="minorEastAsia" w:hAnsiTheme="minorEastAsia" w:eastAsiaTheme="minorEastAsia" w:cstheme="minorEastAsia"/>
                <w:color w:val="000000" w:themeColor="text1"/>
                <w:spacing w:val="-1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10</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万元（含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10</w:t>
            </w:r>
            <w:r>
              <w:rPr>
                <w:rFonts w:hint="eastAsia" w:asciiTheme="minorEastAsia" w:hAnsiTheme="minorEastAsia" w:eastAsiaTheme="minorEastAsia" w:cstheme="minorEastAsia"/>
                <w:color w:val="000000" w:themeColor="text1"/>
                <w:spacing w:val="-2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万元）以及按季纳税的季度销售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额或营业额不超过</w:t>
            </w:r>
            <w:r>
              <w:rPr>
                <w:rFonts w:hint="eastAsia" w:asciiTheme="minorEastAsia" w:hAnsiTheme="minorEastAsia" w:eastAsiaTheme="minorEastAsia" w:cstheme="minorEastAsia"/>
                <w:color w:val="000000" w:themeColor="text1"/>
                <w:spacing w:val="-1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30</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万元（含</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30</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万元）的缴纳义务人免征。对增值</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税小规模纳税人按照税额的</w:t>
            </w:r>
            <w:r>
              <w:rPr>
                <w:rFonts w:hint="eastAsia" w:asciiTheme="minorEastAsia" w:hAnsiTheme="minorEastAsia" w:eastAsiaTheme="minorEastAsia" w:cstheme="minorEastAsia"/>
                <w:color w:val="000000" w:themeColor="text1"/>
                <w:spacing w:val="-2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50%减</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征。自</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2019</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年 1</w:t>
            </w:r>
            <w:r>
              <w:rPr>
                <w:rFonts w:hint="eastAsia" w:asciiTheme="minorEastAsia" w:hAnsiTheme="minorEastAsia" w:eastAsiaTheme="minorEastAsia" w:cstheme="minorEastAsia"/>
                <w:color w:val="000000" w:themeColor="text1"/>
                <w:spacing w:val="-2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1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1 日起，纳入</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产教融合型企业建设培育范围的</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试点企业，符合规定的，可按投资</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额的</w:t>
            </w:r>
            <w:r>
              <w:rPr>
                <w:rFonts w:hint="eastAsia" w:asciiTheme="minorEastAsia" w:hAnsiTheme="minorEastAsia" w:eastAsiaTheme="minorEastAsia" w:cstheme="minorEastAsia"/>
                <w:color w:val="000000" w:themeColor="text1"/>
                <w:spacing w:val="-2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30%比例，抵免当年应缴教育</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费附加。</w:t>
            </w:r>
          </w:p>
        </w:tc>
        <w:tc>
          <w:tcPr>
            <w:tcW w:w="2066" w:type="dxa"/>
            <w:tcBorders>
              <w:bottom w:val="single" w:color="000000" w:sz="6" w:space="0"/>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rPr>
          <w:rFonts w:ascii="Arial"/>
          <w:sz w:val="21"/>
        </w:rPr>
      </w:pPr>
    </w:p>
    <w:p>
      <w:pPr>
        <w:rPr>
          <w:rFonts w:ascii="Arial" w:hAnsi="Arial" w:eastAsia="Arial" w:cs="Arial"/>
          <w:sz w:val="21"/>
          <w:szCs w:val="21"/>
        </w:rPr>
        <w:sectPr>
          <w:footerReference r:id="rId6" w:type="default"/>
          <w:pgSz w:w="16839" w:h="11906"/>
          <w:pgMar w:top="1012" w:right="1396" w:bottom="1025" w:left="1395" w:header="0" w:footer="848" w:gutter="0"/>
          <w:cols w:space="720" w:num="1"/>
        </w:sectPr>
      </w:pPr>
    </w:p>
    <w:p>
      <w:pPr>
        <w:spacing w:before="107"/>
      </w:pPr>
    </w:p>
    <w:tbl>
      <w:tblPr>
        <w:tblStyle w:val="6"/>
        <w:tblW w:w="140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711"/>
        <w:gridCol w:w="871"/>
        <w:gridCol w:w="3703"/>
        <w:gridCol w:w="926"/>
        <w:gridCol w:w="2235"/>
        <w:gridCol w:w="3051"/>
        <w:gridCol w:w="2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468" w:type="dxa"/>
            <w:tcBorders>
              <w:top w:val="single" w:color="000000" w:sz="6" w:space="0"/>
              <w:left w:val="single" w:color="000000" w:sz="6" w:space="0"/>
            </w:tcBorders>
            <w:vAlign w:val="top"/>
          </w:tcPr>
          <w:p>
            <w:pPr>
              <w:spacing w:before="122" w:line="205" w:lineRule="auto"/>
              <w:ind w:left="25" w:right="37"/>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r>
              <w:rPr>
                <w:rFonts w:ascii="微软雅黑" w:hAnsi="微软雅黑" w:eastAsia="微软雅黑" w:cs="微软雅黑"/>
                <w:b/>
                <w:bCs/>
                <w:sz w:val="18"/>
                <w:szCs w:val="18"/>
              </w:rPr>
              <w:t xml:space="preserve"> </w:t>
            </w:r>
            <w:r>
              <w:rPr>
                <w:rFonts w:ascii="微软雅黑" w:hAnsi="微软雅黑" w:eastAsia="微软雅黑" w:cs="微软雅黑"/>
                <w:b/>
                <w:bCs/>
                <w:spacing w:val="7"/>
                <w:sz w:val="18"/>
                <w:szCs w:val="18"/>
              </w:rPr>
              <w:t>序号</w:t>
            </w:r>
          </w:p>
        </w:tc>
        <w:tc>
          <w:tcPr>
            <w:tcW w:w="711" w:type="dxa"/>
            <w:tcBorders>
              <w:top w:val="single" w:color="000000" w:sz="6" w:space="0"/>
            </w:tcBorders>
            <w:vAlign w:val="top"/>
          </w:tcPr>
          <w:p>
            <w:pPr>
              <w:spacing w:before="120" w:line="229"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p>
          <w:p>
            <w:pPr>
              <w:spacing w:line="182"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名称</w:t>
            </w:r>
          </w:p>
        </w:tc>
        <w:tc>
          <w:tcPr>
            <w:tcW w:w="871" w:type="dxa"/>
            <w:tcBorders>
              <w:top w:val="single" w:color="000000" w:sz="6" w:space="0"/>
            </w:tcBorders>
            <w:vAlign w:val="top"/>
          </w:tcPr>
          <w:p>
            <w:pPr>
              <w:spacing w:before="111" w:line="209" w:lineRule="auto"/>
              <w:ind w:left="230" w:right="40" w:hanging="201"/>
              <w:rPr>
                <w:rFonts w:ascii="微软雅黑" w:hAnsi="微软雅黑" w:eastAsia="微软雅黑" w:cs="微软雅黑"/>
                <w:sz w:val="18"/>
                <w:szCs w:val="18"/>
              </w:rPr>
            </w:pPr>
            <w:r>
              <w:rPr>
                <w:rFonts w:ascii="微软雅黑" w:hAnsi="微软雅黑" w:eastAsia="微软雅黑" w:cs="微软雅黑"/>
                <w:b/>
                <w:bCs/>
                <w:spacing w:val="8"/>
                <w:sz w:val="18"/>
                <w:szCs w:val="18"/>
              </w:rPr>
              <w:t>资金管理</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7"/>
                <w:sz w:val="18"/>
                <w:szCs w:val="18"/>
              </w:rPr>
              <w:t>方式</w:t>
            </w:r>
          </w:p>
        </w:tc>
        <w:tc>
          <w:tcPr>
            <w:tcW w:w="3703" w:type="dxa"/>
            <w:tcBorders>
              <w:top w:val="single" w:color="000000" w:sz="6" w:space="0"/>
            </w:tcBorders>
            <w:vAlign w:val="top"/>
          </w:tcPr>
          <w:p>
            <w:pPr>
              <w:spacing w:before="272" w:line="190" w:lineRule="auto"/>
              <w:ind w:left="1447"/>
              <w:rPr>
                <w:rFonts w:ascii="微软雅黑" w:hAnsi="微软雅黑" w:eastAsia="微软雅黑" w:cs="微软雅黑"/>
                <w:sz w:val="18"/>
                <w:szCs w:val="18"/>
              </w:rPr>
            </w:pPr>
            <w:r>
              <w:rPr>
                <w:rFonts w:ascii="微软雅黑" w:hAnsi="微软雅黑" w:eastAsia="微软雅黑" w:cs="微软雅黑"/>
                <w:b/>
                <w:bCs/>
                <w:spacing w:val="9"/>
                <w:sz w:val="18"/>
                <w:szCs w:val="18"/>
              </w:rPr>
              <w:t>政策依据</w:t>
            </w:r>
          </w:p>
        </w:tc>
        <w:tc>
          <w:tcPr>
            <w:tcW w:w="926" w:type="dxa"/>
            <w:tcBorders>
              <w:top w:val="single" w:color="000000" w:sz="6" w:space="0"/>
            </w:tcBorders>
            <w:vAlign w:val="top"/>
          </w:tcPr>
          <w:p>
            <w:pPr>
              <w:spacing w:before="111" w:line="209" w:lineRule="auto"/>
              <w:ind w:left="88" w:right="63" w:hanging="27"/>
              <w:rPr>
                <w:rFonts w:ascii="微软雅黑" w:hAnsi="微软雅黑" w:eastAsia="微软雅黑" w:cs="微软雅黑"/>
                <w:sz w:val="18"/>
                <w:szCs w:val="18"/>
              </w:rPr>
            </w:pPr>
            <w:r>
              <w:rPr>
                <w:rFonts w:ascii="微软雅黑" w:hAnsi="微软雅黑" w:eastAsia="微软雅黑" w:cs="微软雅黑"/>
                <w:b/>
                <w:bCs/>
                <w:spacing w:val="8"/>
                <w:sz w:val="18"/>
                <w:szCs w:val="18"/>
              </w:rPr>
              <w:t>执收部门</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1"/>
                <w:sz w:val="18"/>
                <w:szCs w:val="18"/>
              </w:rPr>
              <w:t>（单位）</w:t>
            </w:r>
          </w:p>
        </w:tc>
        <w:tc>
          <w:tcPr>
            <w:tcW w:w="2235" w:type="dxa"/>
            <w:tcBorders>
              <w:top w:val="single" w:color="000000" w:sz="6" w:space="0"/>
            </w:tcBorders>
            <w:vAlign w:val="top"/>
          </w:tcPr>
          <w:p>
            <w:pPr>
              <w:spacing w:before="273" w:line="189" w:lineRule="auto"/>
              <w:ind w:left="719"/>
              <w:rPr>
                <w:rFonts w:ascii="微软雅黑" w:hAnsi="微软雅黑" w:eastAsia="微软雅黑" w:cs="微软雅黑"/>
                <w:sz w:val="18"/>
                <w:szCs w:val="18"/>
              </w:rPr>
            </w:pPr>
            <w:r>
              <w:rPr>
                <w:rFonts w:ascii="微软雅黑" w:hAnsi="微软雅黑" w:eastAsia="微软雅黑" w:cs="微软雅黑"/>
                <w:b/>
                <w:bCs/>
                <w:spacing w:val="9"/>
                <w:sz w:val="18"/>
                <w:szCs w:val="18"/>
              </w:rPr>
              <w:t>征收对象</w:t>
            </w:r>
          </w:p>
        </w:tc>
        <w:tc>
          <w:tcPr>
            <w:tcW w:w="3051" w:type="dxa"/>
            <w:tcBorders>
              <w:top w:val="single" w:color="000000" w:sz="6" w:space="0"/>
            </w:tcBorders>
            <w:vAlign w:val="top"/>
          </w:tcPr>
          <w:p>
            <w:pPr>
              <w:spacing w:before="272" w:line="190" w:lineRule="auto"/>
              <w:ind w:left="1128"/>
              <w:rPr>
                <w:rFonts w:ascii="微软雅黑" w:hAnsi="微软雅黑" w:eastAsia="微软雅黑" w:cs="微软雅黑"/>
                <w:sz w:val="18"/>
                <w:szCs w:val="18"/>
              </w:rPr>
            </w:pPr>
            <w:r>
              <w:rPr>
                <w:rFonts w:ascii="微软雅黑" w:hAnsi="微软雅黑" w:eastAsia="微软雅黑" w:cs="微软雅黑"/>
                <w:b/>
                <w:bCs/>
                <w:spacing w:val="9"/>
                <w:sz w:val="18"/>
                <w:szCs w:val="18"/>
              </w:rPr>
              <w:t>征收标准</w:t>
            </w:r>
          </w:p>
        </w:tc>
        <w:tc>
          <w:tcPr>
            <w:tcW w:w="2066" w:type="dxa"/>
            <w:tcBorders>
              <w:top w:val="single" w:color="000000" w:sz="6" w:space="0"/>
              <w:right w:val="single" w:color="000000" w:sz="6" w:space="0"/>
            </w:tcBorders>
            <w:vAlign w:val="top"/>
          </w:tcPr>
          <w:p>
            <w:pPr>
              <w:spacing w:before="273" w:line="189" w:lineRule="auto"/>
              <w:ind w:left="734"/>
              <w:rPr>
                <w:rFonts w:ascii="微软雅黑" w:hAnsi="微软雅黑" w:eastAsia="微软雅黑" w:cs="微软雅黑"/>
                <w:sz w:val="18"/>
                <w:szCs w:val="18"/>
              </w:rPr>
            </w:pPr>
            <w:r>
              <w:rPr>
                <w:rFonts w:ascii="微软雅黑" w:hAnsi="微软雅黑" w:eastAsia="微软雅黑" w:cs="微软雅黑"/>
                <w:b/>
                <w:bCs/>
                <w:spacing w:val="6"/>
                <w:sz w:val="18"/>
                <w:szCs w:val="18"/>
              </w:rPr>
              <w:t>备</w:t>
            </w:r>
            <w:r>
              <w:rPr>
                <w:rFonts w:ascii="微软雅黑" w:hAnsi="微软雅黑" w:eastAsia="微软雅黑" w:cs="微软雅黑"/>
                <w:b/>
                <w:bCs/>
                <w:spacing w:val="10"/>
                <w:sz w:val="18"/>
                <w:szCs w:val="18"/>
              </w:rPr>
              <w:t xml:space="preserve">   </w:t>
            </w:r>
            <w:r>
              <w:rPr>
                <w:rFonts w:ascii="微软雅黑" w:hAnsi="微软雅黑" w:eastAsia="微软雅黑" w:cs="微软雅黑"/>
                <w:b/>
                <w:bCs/>
                <w:spacing w:val="6"/>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0" w:hRule="atLeast"/>
        </w:trPr>
        <w:tc>
          <w:tcPr>
            <w:tcW w:w="468"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185"/>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w:t>
            </w:r>
          </w:p>
        </w:tc>
        <w:tc>
          <w:tcPr>
            <w:tcW w:w="71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2" w:right="33" w:hanging="7"/>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地方教</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育附加</w:t>
            </w:r>
          </w:p>
        </w:tc>
        <w:tc>
          <w:tcPr>
            <w:tcW w:w="87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46" w:right="30" w:hanging="2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缴入地方</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国库</w:t>
            </w:r>
          </w:p>
        </w:tc>
        <w:tc>
          <w:tcPr>
            <w:tcW w:w="3703"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83" w:line="267" w:lineRule="auto"/>
              <w:ind w:left="42" w:right="36" w:firstLine="1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《中华人民共和国教育法》，财综〔2004〕</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73</w:t>
            </w:r>
            <w:r>
              <w:rPr>
                <w:rFonts w:hint="eastAsia" w:asciiTheme="minorEastAsia" w:hAnsiTheme="minorEastAsia" w:eastAsiaTheme="minorEastAsia" w:cstheme="minorEastAsia"/>
                <w:color w:val="000000" w:themeColor="text1"/>
                <w:spacing w:val="-3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号，财综〔2007〕53</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号，财综〔2010</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〕98</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号，陕政办发〔2011〕10</w:t>
            </w: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号，财税〔2016〕</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12</w:t>
            </w:r>
            <w:r>
              <w:rPr>
                <w:rFonts w:hint="eastAsia" w:asciiTheme="minorEastAsia" w:hAnsiTheme="minorEastAsia" w:eastAsiaTheme="minorEastAsia" w:cstheme="minorEastAsia"/>
                <w:color w:val="000000" w:themeColor="text1"/>
                <w:spacing w:val="-3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号，财税〔2018〕70</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号，财税〔2019</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〕13</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号，财税〔2019〕21</w:t>
            </w: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号，财税〔2019〕22</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号，财税〔2019〕46</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号，陕财税〔201</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9〕5</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号，陕财税〔2019〕15</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号，财政部、税务总</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局、国家发展改革委、民政部、商务部、卫</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生健康委公告</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2019</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年第</w:t>
            </w:r>
            <w:r>
              <w:rPr>
                <w:rFonts w:hint="eastAsia" w:asciiTheme="minorEastAsia" w:hAnsiTheme="minorEastAsia" w:eastAsiaTheme="minorEastAsia" w:cstheme="minorEastAsia"/>
                <w:color w:val="000000" w:themeColor="text1"/>
                <w:spacing w:val="-1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76</w:t>
            </w: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pacing w:val="-5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w:t>
            </w:r>
            <w:r>
              <w:rPr>
                <w:rFonts w:hint="eastAsia" w:asciiTheme="minorEastAsia" w:hAnsiTheme="minorEastAsia" w:eastAsiaTheme="minorEastAsia" w:cstheme="minorEastAsia"/>
                <w:color w:val="000000" w:themeColor="text1"/>
                <w:spacing w:val="-4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陕财办预〔2023〕57</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陕财税〔2023〕13</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w:t>
            </w:r>
          </w:p>
        </w:tc>
        <w:tc>
          <w:tcPr>
            <w:tcW w:w="926"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税务机关</w:t>
            </w:r>
          </w:p>
        </w:tc>
        <w:tc>
          <w:tcPr>
            <w:tcW w:w="2235"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32" w:right="16" w:hanging="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缴纳增值税、消费税的单</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位和个人</w:t>
            </w:r>
          </w:p>
        </w:tc>
        <w:tc>
          <w:tcPr>
            <w:tcW w:w="305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3" w:right="14" w:firstLine="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按纳税人实际缴纳的增值税、消费税</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税额的</w:t>
            </w:r>
            <w:r>
              <w:rPr>
                <w:rFonts w:hint="eastAsia" w:asciiTheme="minorEastAsia" w:hAnsiTheme="minorEastAsia" w:eastAsiaTheme="minorEastAsia" w:cstheme="minorEastAsia"/>
                <w:color w:val="000000" w:themeColor="text1"/>
                <w:spacing w:val="-4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2%计征</w:t>
            </w:r>
            <w:r>
              <w:rPr>
                <w:rFonts w:hint="eastAsia" w:asciiTheme="minorEastAsia" w:hAnsiTheme="minorEastAsia" w:eastAsiaTheme="minorEastAsia" w:cstheme="minorEastAsia"/>
                <w:color w:val="000000" w:themeColor="text1"/>
                <w:spacing w:val="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自</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2016</w:t>
            </w:r>
            <w:r>
              <w:rPr>
                <w:rFonts w:hint="eastAsia" w:asciiTheme="minorEastAsia" w:hAnsiTheme="minorEastAsia" w:eastAsiaTheme="minorEastAsia" w:cstheme="minorEastAsia"/>
                <w:color w:val="000000" w:themeColor="text1"/>
                <w:spacing w:val="-4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7"/>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7"/>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日起，纳税的月销</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售额或营业额不超过</w:t>
            </w:r>
            <w:r>
              <w:rPr>
                <w:rFonts w:hint="eastAsia" w:asciiTheme="minorEastAsia" w:hAnsiTheme="minorEastAsia" w:eastAsiaTheme="minorEastAsia" w:cstheme="minorEastAsia"/>
                <w:color w:val="000000" w:themeColor="text1"/>
                <w:spacing w:val="-2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10</w:t>
            </w:r>
            <w:r>
              <w:rPr>
                <w:rFonts w:hint="eastAsia" w:asciiTheme="minorEastAsia" w:hAnsiTheme="minorEastAsia" w:eastAsiaTheme="minorEastAsia" w:cstheme="minorEastAsia"/>
                <w:color w:val="000000" w:themeColor="text1"/>
                <w:spacing w:val="-3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万元（含</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10 万元）以及按季纳税的季度销售额或</w:t>
            </w: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营业额不超过</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30</w:t>
            </w:r>
            <w:r>
              <w:rPr>
                <w:rFonts w:hint="eastAsia" w:asciiTheme="minorEastAsia" w:hAnsiTheme="minorEastAsia" w:eastAsiaTheme="minorEastAsia" w:cstheme="minorEastAsia"/>
                <w:color w:val="000000" w:themeColor="text1"/>
                <w:spacing w:val="-3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万元（含</w:t>
            </w:r>
            <w:r>
              <w:rPr>
                <w:rFonts w:hint="eastAsia" w:asciiTheme="minorEastAsia" w:hAnsiTheme="minorEastAsia" w:eastAsiaTheme="minorEastAsia" w:cstheme="minorEastAsia"/>
                <w:color w:val="000000" w:themeColor="text1"/>
                <w:spacing w:val="-4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30</w:t>
            </w:r>
            <w:r>
              <w:rPr>
                <w:rFonts w:hint="eastAsia" w:asciiTheme="minorEastAsia" w:hAnsiTheme="minorEastAsia" w:eastAsiaTheme="minorEastAsia" w:cstheme="minorEastAsia"/>
                <w:color w:val="000000" w:themeColor="text1"/>
                <w:spacing w:val="-3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万元）</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的缴纳义务人免征。自</w:t>
            </w:r>
            <w:r>
              <w:rPr>
                <w:rFonts w:hint="eastAsia" w:asciiTheme="minorEastAsia" w:hAnsiTheme="minorEastAsia" w:eastAsiaTheme="minorEastAsia" w:cstheme="minorEastAsia"/>
                <w:color w:val="000000" w:themeColor="text1"/>
                <w:spacing w:val="-3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2019</w:t>
            </w:r>
            <w:r>
              <w:rPr>
                <w:rFonts w:hint="eastAsia" w:asciiTheme="minorEastAsia" w:hAnsiTheme="minorEastAsia" w:eastAsiaTheme="minorEastAsia" w:cstheme="minorEastAsia"/>
                <w:color w:val="000000" w:themeColor="text1"/>
                <w:spacing w:val="-4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3"/>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3"/>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日起，纳入产教融合型企业建设培</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育范围的试点企业，符合规定的，可</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按投资额的</w:t>
            </w:r>
            <w:r>
              <w:rPr>
                <w:rFonts w:hint="eastAsia" w:asciiTheme="minorEastAsia" w:hAnsiTheme="minorEastAsia" w:eastAsiaTheme="minorEastAsia" w:cstheme="minorEastAsia"/>
                <w:color w:val="000000" w:themeColor="text1"/>
                <w:spacing w:val="-3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30%比例，抵免当年应缴</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地方教育附加。</w:t>
            </w:r>
          </w:p>
        </w:tc>
        <w:tc>
          <w:tcPr>
            <w:tcW w:w="2066"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9" w:hRule="atLeast"/>
        </w:trPr>
        <w:tc>
          <w:tcPr>
            <w:tcW w:w="468" w:type="dxa"/>
            <w:tcBorders>
              <w:left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18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w:t>
            </w:r>
          </w:p>
        </w:tc>
        <w:tc>
          <w:tcPr>
            <w:tcW w:w="71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5" w:right="33" w:firstLine="19"/>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9"/>
                <w:sz w:val="18"/>
                <w:szCs w:val="18"/>
                <w14:textFill>
                  <w14:solidFill>
                    <w14:schemeClr w14:val="tx1"/>
                  </w14:solidFill>
                </w14:textFill>
              </w:rPr>
              <w:t>国家电</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影事业</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发展专</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项资金</w:t>
            </w:r>
          </w:p>
        </w:tc>
        <w:tc>
          <w:tcPr>
            <w:tcW w:w="87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27" w:right="30" w:hanging="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缴入中央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和地方国</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库</w:t>
            </w:r>
          </w:p>
        </w:tc>
        <w:tc>
          <w:tcPr>
            <w:tcW w:w="3703"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7" w:firstLine="5"/>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《电影管理条例》，国办发〔2006〕43</w:t>
            </w:r>
            <w:r>
              <w:rPr>
                <w:rFonts w:hint="eastAsia" w:asciiTheme="minorEastAsia" w:hAnsiTheme="minorEastAsia" w:eastAsiaTheme="minorEastAsia" w:cstheme="minorEastAsia"/>
                <w:color w:val="000000" w:themeColor="text1"/>
                <w:spacing w:val="-1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财税〔2015〕91</w:t>
            </w: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号，陕财办综〔2015〕172</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号，财教〔2016〕4</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号，财税〔2018〕67</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号，财教〔2019〕260</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号，财政部</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国家电</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影总局</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2020</w:t>
            </w: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年第</w:t>
            </w: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26</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号公告</w:t>
            </w:r>
            <w:r>
              <w:rPr>
                <w:rFonts w:hint="eastAsia" w:asciiTheme="minorEastAsia" w:hAnsiTheme="minorEastAsia" w:eastAsiaTheme="minorEastAsia" w:cstheme="minorEastAsia"/>
                <w:color w:val="000000" w:themeColor="text1"/>
                <w:spacing w:val="-5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w:t>
            </w:r>
            <w:r>
              <w:rPr>
                <w:rFonts w:hint="eastAsia" w:asciiTheme="minorEastAsia" w:hAnsiTheme="minorEastAsia" w:eastAsiaTheme="minorEastAsia" w:cstheme="minorEastAsia"/>
                <w:color w:val="000000" w:themeColor="text1"/>
                <w:spacing w:val="-4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陕财办教</w:t>
            </w:r>
          </w:p>
          <w:p>
            <w:pPr>
              <w:pStyle w:val="7"/>
              <w:keepNext w:val="0"/>
              <w:keepLines w:val="0"/>
              <w:pageBreakBefore w:val="0"/>
              <w:widowControl/>
              <w:kinsoku w:val="0"/>
              <w:wordWrap/>
              <w:overflowPunct/>
              <w:topLinePunct w:val="0"/>
              <w:autoSpaceDE w:val="0"/>
              <w:autoSpaceDN w:val="0"/>
              <w:bidi w:val="0"/>
              <w:adjustRightInd w:val="0"/>
              <w:snapToGrid w:val="0"/>
              <w:spacing w:before="80" w:line="267" w:lineRule="auto"/>
              <w:ind w:left="54"/>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〔2020〕201</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p>
        </w:tc>
        <w:tc>
          <w:tcPr>
            <w:tcW w:w="926"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90"/>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由省管委</w:t>
            </w:r>
          </w:p>
          <w:p>
            <w:pPr>
              <w:pStyle w:val="7"/>
              <w:keepNext w:val="0"/>
              <w:keepLines w:val="0"/>
              <w:pageBreakBefore w:val="0"/>
              <w:widowControl/>
              <w:kinsoku w:val="0"/>
              <w:wordWrap/>
              <w:overflowPunct/>
              <w:topLinePunct w:val="0"/>
              <w:autoSpaceDE w:val="0"/>
              <w:autoSpaceDN w:val="0"/>
              <w:bidi w:val="0"/>
              <w:adjustRightInd w:val="0"/>
              <w:snapToGrid w:val="0"/>
              <w:spacing w:before="82" w:line="267" w:lineRule="auto"/>
              <w:ind w:left="65"/>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会办公室</w:t>
            </w:r>
          </w:p>
          <w:p>
            <w:pPr>
              <w:pStyle w:val="7"/>
              <w:keepNext w:val="0"/>
              <w:keepLines w:val="0"/>
              <w:pageBreakBefore w:val="0"/>
              <w:widowControl/>
              <w:kinsoku w:val="0"/>
              <w:wordWrap/>
              <w:overflowPunct/>
              <w:topLinePunct w:val="0"/>
              <w:autoSpaceDE w:val="0"/>
              <w:autoSpaceDN w:val="0"/>
              <w:bidi w:val="0"/>
              <w:adjustRightInd w:val="0"/>
              <w:snapToGrid w:val="0"/>
              <w:spacing w:before="80" w:line="267" w:lineRule="auto"/>
              <w:ind w:left="174"/>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负责征</w:t>
            </w:r>
          </w:p>
          <w:p>
            <w:pPr>
              <w:pStyle w:val="7"/>
              <w:keepNext w:val="0"/>
              <w:keepLines w:val="0"/>
              <w:pageBreakBefore w:val="0"/>
              <w:widowControl/>
              <w:kinsoku w:val="0"/>
              <w:wordWrap/>
              <w:overflowPunct/>
              <w:topLinePunct w:val="0"/>
              <w:autoSpaceDE w:val="0"/>
              <w:autoSpaceDN w:val="0"/>
              <w:bidi w:val="0"/>
              <w:adjustRightInd w:val="0"/>
              <w:snapToGrid w:val="0"/>
              <w:spacing w:before="79" w:line="267" w:lineRule="auto"/>
              <w:ind w:left="274"/>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收。</w:t>
            </w:r>
          </w:p>
        </w:tc>
        <w:tc>
          <w:tcPr>
            <w:tcW w:w="2235"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2" w:right="25"/>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在全省行政区内办理工</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商注册登记的经营性电</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影放映单位。</w:t>
            </w:r>
          </w:p>
        </w:tc>
        <w:tc>
          <w:tcPr>
            <w:tcW w:w="305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37" w:right="21" w:hanging="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按电影票房收入的</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5%缴纳电影专</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项资金。</w:t>
            </w:r>
          </w:p>
        </w:tc>
        <w:tc>
          <w:tcPr>
            <w:tcW w:w="2066" w:type="dxa"/>
            <w:tcBorders>
              <w:bottom w:val="single" w:color="000000" w:sz="6" w:space="0"/>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rPr>
          <w:rFonts w:ascii="Arial"/>
          <w:sz w:val="21"/>
        </w:rPr>
      </w:pPr>
    </w:p>
    <w:p>
      <w:pPr>
        <w:rPr>
          <w:rFonts w:ascii="Arial" w:hAnsi="Arial" w:eastAsia="Arial" w:cs="Arial"/>
          <w:sz w:val="21"/>
          <w:szCs w:val="21"/>
        </w:rPr>
        <w:sectPr>
          <w:footerReference r:id="rId7" w:type="default"/>
          <w:pgSz w:w="16839" w:h="11906"/>
          <w:pgMar w:top="1012" w:right="1396" w:bottom="1027" w:left="1395" w:header="0" w:footer="848" w:gutter="0"/>
          <w:cols w:space="720" w:num="1"/>
        </w:sectPr>
      </w:pPr>
    </w:p>
    <w:p>
      <w:pPr>
        <w:spacing w:before="107"/>
      </w:pPr>
    </w:p>
    <w:tbl>
      <w:tblPr>
        <w:tblStyle w:val="6"/>
        <w:tblW w:w="140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711"/>
        <w:gridCol w:w="871"/>
        <w:gridCol w:w="3703"/>
        <w:gridCol w:w="926"/>
        <w:gridCol w:w="2235"/>
        <w:gridCol w:w="3051"/>
        <w:gridCol w:w="2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468" w:type="dxa"/>
            <w:tcBorders>
              <w:top w:val="single" w:color="000000" w:sz="6" w:space="0"/>
              <w:left w:val="single" w:color="000000" w:sz="6" w:space="0"/>
            </w:tcBorders>
            <w:vAlign w:val="top"/>
          </w:tcPr>
          <w:p>
            <w:pPr>
              <w:spacing w:before="121" w:line="205" w:lineRule="auto"/>
              <w:ind w:left="25" w:right="37"/>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r>
              <w:rPr>
                <w:rFonts w:ascii="微软雅黑" w:hAnsi="微软雅黑" w:eastAsia="微软雅黑" w:cs="微软雅黑"/>
                <w:b/>
                <w:bCs/>
                <w:sz w:val="18"/>
                <w:szCs w:val="18"/>
              </w:rPr>
              <w:t xml:space="preserve"> </w:t>
            </w:r>
            <w:r>
              <w:rPr>
                <w:rFonts w:ascii="微软雅黑" w:hAnsi="微软雅黑" w:eastAsia="微软雅黑" w:cs="微软雅黑"/>
                <w:b/>
                <w:bCs/>
                <w:spacing w:val="7"/>
                <w:sz w:val="18"/>
                <w:szCs w:val="18"/>
              </w:rPr>
              <w:t>序号</w:t>
            </w:r>
          </w:p>
        </w:tc>
        <w:tc>
          <w:tcPr>
            <w:tcW w:w="711" w:type="dxa"/>
            <w:tcBorders>
              <w:top w:val="single" w:color="000000" w:sz="6" w:space="0"/>
            </w:tcBorders>
            <w:vAlign w:val="top"/>
          </w:tcPr>
          <w:p>
            <w:pPr>
              <w:spacing w:before="120" w:line="229"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p>
          <w:p>
            <w:pPr>
              <w:spacing w:line="181"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名称</w:t>
            </w:r>
          </w:p>
        </w:tc>
        <w:tc>
          <w:tcPr>
            <w:tcW w:w="871" w:type="dxa"/>
            <w:tcBorders>
              <w:top w:val="single" w:color="000000" w:sz="6" w:space="0"/>
            </w:tcBorders>
            <w:vAlign w:val="top"/>
          </w:tcPr>
          <w:p>
            <w:pPr>
              <w:spacing w:before="112" w:line="208" w:lineRule="auto"/>
              <w:ind w:left="230" w:right="40" w:hanging="201"/>
              <w:rPr>
                <w:rFonts w:ascii="微软雅黑" w:hAnsi="微软雅黑" w:eastAsia="微软雅黑" w:cs="微软雅黑"/>
                <w:sz w:val="18"/>
                <w:szCs w:val="18"/>
              </w:rPr>
            </w:pPr>
            <w:r>
              <w:rPr>
                <w:rFonts w:ascii="微软雅黑" w:hAnsi="微软雅黑" w:eastAsia="微软雅黑" w:cs="微软雅黑"/>
                <w:b/>
                <w:bCs/>
                <w:spacing w:val="8"/>
                <w:sz w:val="18"/>
                <w:szCs w:val="18"/>
              </w:rPr>
              <w:t>资金管理</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7"/>
                <w:sz w:val="18"/>
                <w:szCs w:val="18"/>
              </w:rPr>
              <w:t>方式</w:t>
            </w:r>
          </w:p>
        </w:tc>
        <w:tc>
          <w:tcPr>
            <w:tcW w:w="3703" w:type="dxa"/>
            <w:tcBorders>
              <w:top w:val="single" w:color="000000" w:sz="6" w:space="0"/>
            </w:tcBorders>
            <w:vAlign w:val="top"/>
          </w:tcPr>
          <w:p>
            <w:pPr>
              <w:spacing w:before="272" w:line="190" w:lineRule="auto"/>
              <w:ind w:left="1447"/>
              <w:rPr>
                <w:rFonts w:ascii="微软雅黑" w:hAnsi="微软雅黑" w:eastAsia="微软雅黑" w:cs="微软雅黑"/>
                <w:sz w:val="18"/>
                <w:szCs w:val="18"/>
              </w:rPr>
            </w:pPr>
            <w:r>
              <w:rPr>
                <w:rFonts w:ascii="微软雅黑" w:hAnsi="微软雅黑" w:eastAsia="微软雅黑" w:cs="微软雅黑"/>
                <w:b/>
                <w:bCs/>
                <w:spacing w:val="9"/>
                <w:sz w:val="18"/>
                <w:szCs w:val="18"/>
              </w:rPr>
              <w:t>政策依据</w:t>
            </w:r>
          </w:p>
        </w:tc>
        <w:tc>
          <w:tcPr>
            <w:tcW w:w="926" w:type="dxa"/>
            <w:tcBorders>
              <w:top w:val="single" w:color="000000" w:sz="6" w:space="0"/>
            </w:tcBorders>
            <w:vAlign w:val="top"/>
          </w:tcPr>
          <w:p>
            <w:pPr>
              <w:spacing w:before="112" w:line="208" w:lineRule="auto"/>
              <w:ind w:left="88" w:right="63" w:hanging="27"/>
              <w:rPr>
                <w:rFonts w:ascii="微软雅黑" w:hAnsi="微软雅黑" w:eastAsia="微软雅黑" w:cs="微软雅黑"/>
                <w:sz w:val="18"/>
                <w:szCs w:val="18"/>
              </w:rPr>
            </w:pPr>
            <w:r>
              <w:rPr>
                <w:rFonts w:ascii="微软雅黑" w:hAnsi="微软雅黑" w:eastAsia="微软雅黑" w:cs="微软雅黑"/>
                <w:b/>
                <w:bCs/>
                <w:spacing w:val="8"/>
                <w:sz w:val="18"/>
                <w:szCs w:val="18"/>
              </w:rPr>
              <w:t>执收部门</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1"/>
                <w:sz w:val="18"/>
                <w:szCs w:val="18"/>
              </w:rPr>
              <w:t>（单位）</w:t>
            </w:r>
          </w:p>
        </w:tc>
        <w:tc>
          <w:tcPr>
            <w:tcW w:w="2235" w:type="dxa"/>
            <w:tcBorders>
              <w:top w:val="single" w:color="000000" w:sz="6" w:space="0"/>
            </w:tcBorders>
            <w:vAlign w:val="top"/>
          </w:tcPr>
          <w:p>
            <w:pPr>
              <w:spacing w:before="273" w:line="189" w:lineRule="auto"/>
              <w:ind w:left="719"/>
              <w:rPr>
                <w:rFonts w:ascii="微软雅黑" w:hAnsi="微软雅黑" w:eastAsia="微软雅黑" w:cs="微软雅黑"/>
                <w:sz w:val="18"/>
                <w:szCs w:val="18"/>
              </w:rPr>
            </w:pPr>
            <w:r>
              <w:rPr>
                <w:rFonts w:ascii="微软雅黑" w:hAnsi="微软雅黑" w:eastAsia="微软雅黑" w:cs="微软雅黑"/>
                <w:b/>
                <w:bCs/>
                <w:spacing w:val="9"/>
                <w:sz w:val="18"/>
                <w:szCs w:val="18"/>
              </w:rPr>
              <w:t>征收对象</w:t>
            </w:r>
          </w:p>
        </w:tc>
        <w:tc>
          <w:tcPr>
            <w:tcW w:w="3051" w:type="dxa"/>
            <w:tcBorders>
              <w:top w:val="single" w:color="000000" w:sz="6" w:space="0"/>
            </w:tcBorders>
            <w:vAlign w:val="top"/>
          </w:tcPr>
          <w:p>
            <w:pPr>
              <w:spacing w:before="272" w:line="190" w:lineRule="auto"/>
              <w:ind w:left="1128"/>
              <w:rPr>
                <w:rFonts w:ascii="微软雅黑" w:hAnsi="微软雅黑" w:eastAsia="微软雅黑" w:cs="微软雅黑"/>
                <w:sz w:val="18"/>
                <w:szCs w:val="18"/>
              </w:rPr>
            </w:pPr>
            <w:r>
              <w:rPr>
                <w:rFonts w:ascii="微软雅黑" w:hAnsi="微软雅黑" w:eastAsia="微软雅黑" w:cs="微软雅黑"/>
                <w:b/>
                <w:bCs/>
                <w:spacing w:val="9"/>
                <w:sz w:val="18"/>
                <w:szCs w:val="18"/>
              </w:rPr>
              <w:t>征收标准</w:t>
            </w:r>
          </w:p>
        </w:tc>
        <w:tc>
          <w:tcPr>
            <w:tcW w:w="2066" w:type="dxa"/>
            <w:tcBorders>
              <w:top w:val="single" w:color="000000" w:sz="6" w:space="0"/>
              <w:right w:val="single" w:color="000000" w:sz="6" w:space="0"/>
            </w:tcBorders>
            <w:vAlign w:val="top"/>
          </w:tcPr>
          <w:p>
            <w:pPr>
              <w:spacing w:before="273" w:line="189" w:lineRule="auto"/>
              <w:ind w:left="734"/>
              <w:rPr>
                <w:rFonts w:ascii="微软雅黑" w:hAnsi="微软雅黑" w:eastAsia="微软雅黑" w:cs="微软雅黑"/>
                <w:sz w:val="18"/>
                <w:szCs w:val="18"/>
              </w:rPr>
            </w:pPr>
            <w:r>
              <w:rPr>
                <w:rFonts w:ascii="微软雅黑" w:hAnsi="微软雅黑" w:eastAsia="微软雅黑" w:cs="微软雅黑"/>
                <w:b/>
                <w:bCs/>
                <w:spacing w:val="6"/>
                <w:sz w:val="18"/>
                <w:szCs w:val="18"/>
              </w:rPr>
              <w:t>备</w:t>
            </w:r>
            <w:r>
              <w:rPr>
                <w:rFonts w:ascii="微软雅黑" w:hAnsi="微软雅黑" w:eastAsia="微软雅黑" w:cs="微软雅黑"/>
                <w:b/>
                <w:bCs/>
                <w:spacing w:val="10"/>
                <w:sz w:val="18"/>
                <w:szCs w:val="18"/>
              </w:rPr>
              <w:t xml:space="preserve">   </w:t>
            </w:r>
            <w:r>
              <w:rPr>
                <w:rFonts w:ascii="微软雅黑" w:hAnsi="微软雅黑" w:eastAsia="微软雅黑" w:cs="微软雅黑"/>
                <w:b/>
                <w:bCs/>
                <w:spacing w:val="6"/>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9" w:hRule="atLeast"/>
        </w:trPr>
        <w:tc>
          <w:tcPr>
            <w:tcW w:w="468"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186"/>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w:t>
            </w:r>
          </w:p>
        </w:tc>
        <w:tc>
          <w:tcPr>
            <w:tcW w:w="71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4" w:right="33" w:firstLine="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文化事</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业建设</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费</w:t>
            </w:r>
          </w:p>
        </w:tc>
        <w:tc>
          <w:tcPr>
            <w:tcW w:w="87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7" w:right="30" w:hanging="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缴入中央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和地方国</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库</w:t>
            </w:r>
          </w:p>
        </w:tc>
        <w:tc>
          <w:tcPr>
            <w:tcW w:w="3703"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6" w:firstLine="20"/>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国发〔1996〕37</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号，财预字〔1996〕469</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号，财文字〔1997〕243</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号，财税字〔1997〕</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95</w:t>
            </w:r>
            <w:r>
              <w:rPr>
                <w:rFonts w:hint="eastAsia" w:asciiTheme="minorEastAsia" w:hAnsiTheme="minorEastAsia" w:eastAsiaTheme="minorEastAsia" w:cstheme="minorEastAsia"/>
                <w:color w:val="000000" w:themeColor="text1"/>
                <w:spacing w:val="-2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号，国办发〔2006〕43</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号，财综〔2012〕</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68</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号，财综〔2012〕96</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号，财综〔2013〕</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88</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号，财综〔2013〕102</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号，财税〔2016〕</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25</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号，财税〔2016〕60</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号，财税〔2019〕</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46号，陕财税〔2019〕15号，陕财办预〔2023〕</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57</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p>
        </w:tc>
        <w:tc>
          <w:tcPr>
            <w:tcW w:w="926"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3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税务部门</w:t>
            </w:r>
          </w:p>
        </w:tc>
        <w:tc>
          <w:tcPr>
            <w:tcW w:w="2235"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48" w:right="23" w:hanging="15"/>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提供娱乐服务、广告服务</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的相关单位和个人</w:t>
            </w:r>
          </w:p>
        </w:tc>
        <w:tc>
          <w:tcPr>
            <w:tcW w:w="3051"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80" w:line="267" w:lineRule="auto"/>
              <w:ind w:left="34" w:right="17" w:firstLine="9"/>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（1）缴纳文化事业建设费的单位</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应按照提供广告服务取得的计费</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销售额和</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3%的费率计算应缴费额，</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计算公式为：应缴费额＝计费销售</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额×3%</w:t>
            </w:r>
          </w:p>
          <w:p>
            <w:pPr>
              <w:pStyle w:val="7"/>
              <w:keepNext w:val="0"/>
              <w:keepLines w:val="0"/>
              <w:pageBreakBefore w:val="0"/>
              <w:widowControl/>
              <w:kinsoku w:val="0"/>
              <w:wordWrap/>
              <w:overflowPunct/>
              <w:topLinePunct w:val="0"/>
              <w:autoSpaceDE w:val="0"/>
              <w:autoSpaceDN w:val="0"/>
              <w:bidi w:val="0"/>
              <w:adjustRightInd w:val="0"/>
              <w:snapToGrid w:val="0"/>
              <w:spacing w:before="84" w:line="267" w:lineRule="auto"/>
              <w:ind w:left="34" w:right="21" w:firstLine="9"/>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（2）缴纳义务人应按照提供娱乐</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7"/>
                <w:sz w:val="18"/>
                <w:szCs w:val="18"/>
                <w14:textFill>
                  <w14:solidFill>
                    <w14:schemeClr w14:val="tx1"/>
                  </w14:solidFill>
                </w14:textFill>
              </w:rPr>
              <w:t>服务取得的计费销售额和</w:t>
            </w:r>
            <w:r>
              <w:rPr>
                <w:rFonts w:hint="eastAsia" w:asciiTheme="minorEastAsia" w:hAnsiTheme="minorEastAsia" w:eastAsiaTheme="minorEastAsia" w:cstheme="minorEastAsia"/>
                <w:color w:val="000000" w:themeColor="text1"/>
                <w:spacing w:val="-2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7"/>
                <w:sz w:val="18"/>
                <w:szCs w:val="18"/>
                <w14:textFill>
                  <w14:solidFill>
                    <w14:schemeClr w14:val="tx1"/>
                  </w14:solidFill>
                </w14:textFill>
              </w:rPr>
              <w:t>3%的费</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率计算娱乐服务应缴费额，计算公</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式为：娱乐服务应缴费额＝娱乐服</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务计费销售额×3%</w:t>
            </w:r>
          </w:p>
          <w:p>
            <w:pPr>
              <w:pStyle w:val="7"/>
              <w:keepNext w:val="0"/>
              <w:keepLines w:val="0"/>
              <w:pageBreakBefore w:val="0"/>
              <w:widowControl/>
              <w:kinsoku w:val="0"/>
              <w:wordWrap/>
              <w:overflowPunct/>
              <w:topLinePunct w:val="0"/>
              <w:autoSpaceDE w:val="0"/>
              <w:autoSpaceDN w:val="0"/>
              <w:bidi w:val="0"/>
              <w:adjustRightInd w:val="0"/>
              <w:snapToGrid w:val="0"/>
              <w:spacing w:before="80" w:line="267" w:lineRule="auto"/>
              <w:ind w:left="34" w:right="21"/>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娱乐服务计费销售额，为缴纳义务</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人提供娱乐服务取得的全部含税</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价款和价外费用。</w:t>
            </w:r>
          </w:p>
        </w:tc>
        <w:tc>
          <w:tcPr>
            <w:tcW w:w="2066"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8" w:right="23"/>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增值税小规模纳税人中</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月销售额不超过</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2</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万元</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（按季纳税</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6</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万元）的</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企业和非企业性单位提</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供的应税服务免征</w:t>
            </w:r>
            <w:r>
              <w:rPr>
                <w:rFonts w:hint="eastAsia" w:asciiTheme="minorEastAsia" w:hAnsiTheme="minorEastAsia" w:eastAsiaTheme="minorEastAsia" w:cstheme="minorEastAsia"/>
                <w:color w:val="000000" w:themeColor="text1"/>
                <w:spacing w:val="4"/>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自</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2019</w:t>
            </w:r>
            <w:r>
              <w:rPr>
                <w:rFonts w:hint="eastAsia" w:asciiTheme="minorEastAsia" w:hAnsiTheme="minorEastAsia" w:eastAsiaTheme="minorEastAsia" w:cstheme="minorEastAsia"/>
                <w:color w:val="000000" w:themeColor="text1"/>
                <w:spacing w:val="-4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3"/>
                <w:sz w:val="18"/>
                <w:szCs w:val="1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3"/>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日至</w:t>
            </w:r>
            <w:r>
              <w:rPr>
                <w:rFonts w:hint="eastAsia" w:asciiTheme="minorEastAsia" w:hAnsiTheme="minorEastAsia" w:eastAsiaTheme="minorEastAsia" w:cstheme="minorEastAsia"/>
                <w:color w:val="000000" w:themeColor="text1"/>
                <w:spacing w:val="-5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2024</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12</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2"/>
                <w:sz w:val="18"/>
                <w:szCs w:val="18"/>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日，对归属</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我省收入的文化事业建设费，按照缴纳义务人</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应缴费额的</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50%减征。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7" w:hRule="atLeast"/>
        </w:trPr>
        <w:tc>
          <w:tcPr>
            <w:tcW w:w="468" w:type="dxa"/>
            <w:tcBorders>
              <w:left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18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w:t>
            </w:r>
          </w:p>
        </w:tc>
        <w:tc>
          <w:tcPr>
            <w:tcW w:w="711" w:type="dxa"/>
            <w:tcBorders>
              <w:bottom w:val="single" w:color="000000" w:sz="6"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7" w:line="267" w:lineRule="auto"/>
              <w:ind w:left="23" w:right="33" w:firstLine="1"/>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地方水库移民扶持基金（包括大中型水库库区基金和小型水库移民后期扶持基金两项）</w:t>
            </w:r>
          </w:p>
        </w:tc>
        <w:tc>
          <w:tcPr>
            <w:tcW w:w="87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7" w:right="30" w:hanging="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缴入中央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和地方国</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库</w:t>
            </w:r>
          </w:p>
        </w:tc>
        <w:tc>
          <w:tcPr>
            <w:tcW w:w="3703"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8" w:firstLine="4"/>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0"/>
                <w:sz w:val="18"/>
                <w:szCs w:val="18"/>
                <w14:textFill>
                  <w14:solidFill>
                    <w14:schemeClr w14:val="tx1"/>
                  </w14:solidFill>
                </w14:textFill>
              </w:rPr>
              <w:t>《大中型水利水电工程建设征地补偿和移</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民安置条例》，监察部 人事部 财政部令第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13</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号，国发〔2006〕17</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号，财综〔20</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07〕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26</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号，财综〔2008〕29</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号，财综〔20</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09〕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51</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号，财综函〔2010〕39</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号，财企〔2012〕</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315</w:t>
            </w:r>
            <w:r>
              <w:rPr>
                <w:rFonts w:hint="eastAsia" w:asciiTheme="minorEastAsia" w:hAnsiTheme="minorEastAsia" w:eastAsiaTheme="minorEastAsia" w:cstheme="minorEastAsia"/>
                <w:color w:val="000000" w:themeColor="text1"/>
                <w:spacing w:val="-2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号，财综〔2013〕103</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号，财税〔2015〕</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80</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号，财税〔2016〕11</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号，财税〔20</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17〕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18</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号，陕财税〔2017〕43</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号，财税〔2018〕</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39</w:t>
            </w:r>
            <w:r>
              <w:rPr>
                <w:rFonts w:hint="eastAsia" w:asciiTheme="minorEastAsia" w:hAnsiTheme="minorEastAsia" w:eastAsiaTheme="minorEastAsia" w:cstheme="minorEastAsia"/>
                <w:color w:val="000000" w:themeColor="text1"/>
                <w:spacing w:val="-1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号，陕财税〔2018〕7</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号，陕价商发〔2018〕</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75</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号，陕财办税〔2020〕5</w:t>
            </w:r>
            <w:r>
              <w:rPr>
                <w:rFonts w:hint="eastAsia" w:asciiTheme="minorEastAsia" w:hAnsiTheme="minorEastAsia" w:eastAsiaTheme="minorEastAsia" w:cstheme="minorEastAsia"/>
                <w:color w:val="000000" w:themeColor="text1"/>
                <w:spacing w:val="-3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号，财政部</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国</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家发展改革委公告</w:t>
            </w:r>
            <w:r>
              <w:rPr>
                <w:rFonts w:hint="eastAsia" w:asciiTheme="minorEastAsia" w:hAnsiTheme="minorEastAsia" w:eastAsiaTheme="minorEastAsia" w:cstheme="minorEastAsia"/>
                <w:color w:val="000000" w:themeColor="text1"/>
                <w:spacing w:val="-2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2023</w:t>
            </w:r>
            <w:r>
              <w:rPr>
                <w:rFonts w:hint="eastAsia" w:asciiTheme="minorEastAsia" w:hAnsiTheme="minorEastAsia" w:eastAsiaTheme="minorEastAsia" w:cstheme="minorEastAsia"/>
                <w:color w:val="000000" w:themeColor="text1"/>
                <w:spacing w:val="-3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年第</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45</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w:t>
            </w:r>
          </w:p>
        </w:tc>
        <w:tc>
          <w:tcPr>
            <w:tcW w:w="926"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税务机关</w:t>
            </w:r>
          </w:p>
        </w:tc>
        <w:tc>
          <w:tcPr>
            <w:tcW w:w="2235"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4" w:right="25"/>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大中型水库库区基金从</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我市境</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内有发</w:t>
            </w:r>
            <w:r>
              <w:rPr>
                <w:rFonts w:hint="eastAsia" w:asciiTheme="minorEastAsia" w:hAnsiTheme="minorEastAsia" w:eastAsiaTheme="minorEastAsia" w:cstheme="minorEastAsia"/>
                <w:color w:val="000000" w:themeColor="text1"/>
                <w:spacing w:val="-4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电收入</w:t>
            </w:r>
            <w:r>
              <w:rPr>
                <w:rFonts w:hint="eastAsia" w:asciiTheme="minorEastAsia" w:hAnsiTheme="minorEastAsia" w:eastAsiaTheme="minorEastAsia" w:cstheme="minorEastAsia"/>
                <w:color w:val="000000" w:themeColor="text1"/>
                <w:spacing w:val="-4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的</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大中型水库发电收入中</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筹集；</w:t>
            </w:r>
          </w:p>
          <w:p>
            <w:pPr>
              <w:pStyle w:val="7"/>
              <w:keepNext w:val="0"/>
              <w:keepLines w:val="0"/>
              <w:pageBreakBefore w:val="0"/>
              <w:widowControl/>
              <w:kinsoku w:val="0"/>
              <w:wordWrap/>
              <w:overflowPunct/>
              <w:topLinePunct w:val="0"/>
              <w:autoSpaceDE w:val="0"/>
              <w:autoSpaceDN w:val="0"/>
              <w:bidi w:val="0"/>
              <w:adjustRightInd w:val="0"/>
              <w:snapToGrid w:val="0"/>
              <w:spacing w:before="82" w:line="267" w:lineRule="auto"/>
              <w:ind w:left="32" w:right="23" w:firstLine="5"/>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小型水库移民后期扶持</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资金按陕西电网销售电</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价中扣除农业生产用电、</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农业排灌用电、居民生活</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用电后的全部销售电量</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提取。</w:t>
            </w:r>
          </w:p>
        </w:tc>
        <w:tc>
          <w:tcPr>
            <w:tcW w:w="305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50"/>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附加在电价上征收：</w:t>
            </w:r>
          </w:p>
          <w:p>
            <w:pPr>
              <w:pStyle w:val="7"/>
              <w:keepNext w:val="0"/>
              <w:keepLines w:val="0"/>
              <w:pageBreakBefore w:val="0"/>
              <w:widowControl/>
              <w:kinsoku w:val="0"/>
              <w:wordWrap/>
              <w:overflowPunct/>
              <w:topLinePunct w:val="0"/>
              <w:autoSpaceDE w:val="0"/>
              <w:autoSpaceDN w:val="0"/>
              <w:bidi w:val="0"/>
              <w:adjustRightInd w:val="0"/>
              <w:snapToGrid w:val="0"/>
              <w:spacing w:before="80" w:line="267" w:lineRule="auto"/>
              <w:ind w:left="36" w:right="21" w:firstLine="8"/>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（1）大中型水库库区基金征收标</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准</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8</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厘/千瓦时；</w:t>
            </w:r>
          </w:p>
          <w:p>
            <w:pPr>
              <w:pStyle w:val="7"/>
              <w:keepNext w:val="0"/>
              <w:keepLines w:val="0"/>
              <w:pageBreakBefore w:val="0"/>
              <w:widowControl/>
              <w:kinsoku w:val="0"/>
              <w:wordWrap/>
              <w:overflowPunct/>
              <w:topLinePunct w:val="0"/>
              <w:autoSpaceDE w:val="0"/>
              <w:autoSpaceDN w:val="0"/>
              <w:bidi w:val="0"/>
              <w:adjustRightInd w:val="0"/>
              <w:snapToGrid w:val="0"/>
              <w:spacing w:before="77" w:line="267" w:lineRule="auto"/>
              <w:ind w:left="37" w:right="21" w:firstLine="7"/>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（2）</w:t>
            </w:r>
            <w:r>
              <w:rPr>
                <w:rFonts w:hint="eastAsia" w:asciiTheme="minorEastAsia" w:hAnsiTheme="minorEastAsia" w:eastAsiaTheme="minorEastAsia" w:cstheme="minorEastAsia"/>
                <w:color w:val="000000" w:themeColor="text1"/>
                <w:spacing w:val="-5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小型水库移民后期扶持资金</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征收标准</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0.05</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分/千瓦时，2018</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陕价商发〔2018〕75</w:t>
            </w:r>
            <w:r>
              <w:rPr>
                <w:rFonts w:hint="eastAsia" w:asciiTheme="minorEastAsia" w:hAnsiTheme="minorEastAsia" w:eastAsiaTheme="minorEastAsia" w:cstheme="minorEastAsia"/>
                <w:color w:val="000000" w:themeColor="text1"/>
                <w:spacing w:val="-3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号文件将标准</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降为</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0</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分。</w:t>
            </w:r>
          </w:p>
        </w:tc>
        <w:tc>
          <w:tcPr>
            <w:tcW w:w="2066" w:type="dxa"/>
            <w:tcBorders>
              <w:bottom w:val="single" w:color="000000" w:sz="6" w:space="0"/>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8" w:right="2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地方水库移民扶持基金</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政策的税收优惠政策延</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续至 2027</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1"/>
                <w:sz w:val="18"/>
                <w:szCs w:val="1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1"/>
                <w:sz w:val="18"/>
                <w:szCs w:val="18"/>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日。</w:t>
            </w:r>
          </w:p>
        </w:tc>
      </w:tr>
    </w:tbl>
    <w:p>
      <w:pPr>
        <w:rPr>
          <w:rFonts w:ascii="Arial"/>
          <w:sz w:val="21"/>
        </w:rPr>
      </w:pPr>
    </w:p>
    <w:p>
      <w:pPr>
        <w:rPr>
          <w:rFonts w:ascii="Arial" w:hAnsi="Arial" w:eastAsia="Arial" w:cs="Arial"/>
          <w:sz w:val="21"/>
          <w:szCs w:val="21"/>
        </w:rPr>
        <w:sectPr>
          <w:footerReference r:id="rId8" w:type="default"/>
          <w:pgSz w:w="16839" w:h="11906"/>
          <w:pgMar w:top="1012" w:right="1396" w:bottom="1025" w:left="1395" w:header="0" w:footer="848" w:gutter="0"/>
          <w:cols w:space="720" w:num="1"/>
        </w:sectPr>
      </w:pPr>
    </w:p>
    <w:p>
      <w:pPr>
        <w:spacing w:before="107"/>
        <w:rPr>
          <w:sz w:val="18"/>
          <w:szCs w:val="18"/>
        </w:rPr>
      </w:pPr>
    </w:p>
    <w:tbl>
      <w:tblPr>
        <w:tblStyle w:val="6"/>
        <w:tblW w:w="140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711"/>
        <w:gridCol w:w="871"/>
        <w:gridCol w:w="3703"/>
        <w:gridCol w:w="926"/>
        <w:gridCol w:w="2235"/>
        <w:gridCol w:w="3051"/>
        <w:gridCol w:w="2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468" w:type="dxa"/>
            <w:tcBorders>
              <w:top w:val="single" w:color="000000" w:sz="6" w:space="0"/>
              <w:left w:val="single" w:color="000000" w:sz="6" w:space="0"/>
            </w:tcBorders>
            <w:vAlign w:val="top"/>
          </w:tcPr>
          <w:p>
            <w:pPr>
              <w:spacing w:before="122" w:line="205" w:lineRule="auto"/>
              <w:ind w:left="25" w:right="37"/>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r>
              <w:rPr>
                <w:rFonts w:ascii="微软雅黑" w:hAnsi="微软雅黑" w:eastAsia="微软雅黑" w:cs="微软雅黑"/>
                <w:b/>
                <w:bCs/>
                <w:sz w:val="18"/>
                <w:szCs w:val="18"/>
              </w:rPr>
              <w:t xml:space="preserve"> </w:t>
            </w:r>
            <w:r>
              <w:rPr>
                <w:rFonts w:ascii="微软雅黑" w:hAnsi="微软雅黑" w:eastAsia="微软雅黑" w:cs="微软雅黑"/>
                <w:b/>
                <w:bCs/>
                <w:spacing w:val="7"/>
                <w:sz w:val="18"/>
                <w:szCs w:val="18"/>
              </w:rPr>
              <w:t>序号</w:t>
            </w:r>
          </w:p>
        </w:tc>
        <w:tc>
          <w:tcPr>
            <w:tcW w:w="711" w:type="dxa"/>
            <w:tcBorders>
              <w:top w:val="single" w:color="000000" w:sz="6" w:space="0"/>
            </w:tcBorders>
            <w:vAlign w:val="top"/>
          </w:tcPr>
          <w:p>
            <w:pPr>
              <w:spacing w:before="120" w:line="229"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p>
          <w:p>
            <w:pPr>
              <w:spacing w:line="182"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名称</w:t>
            </w:r>
          </w:p>
        </w:tc>
        <w:tc>
          <w:tcPr>
            <w:tcW w:w="871" w:type="dxa"/>
            <w:tcBorders>
              <w:top w:val="single" w:color="000000" w:sz="6" w:space="0"/>
            </w:tcBorders>
            <w:vAlign w:val="top"/>
          </w:tcPr>
          <w:p>
            <w:pPr>
              <w:spacing w:before="111" w:line="209" w:lineRule="auto"/>
              <w:ind w:left="230" w:right="40" w:hanging="201"/>
              <w:rPr>
                <w:rFonts w:ascii="微软雅黑" w:hAnsi="微软雅黑" w:eastAsia="微软雅黑" w:cs="微软雅黑"/>
                <w:sz w:val="18"/>
                <w:szCs w:val="18"/>
              </w:rPr>
            </w:pPr>
            <w:r>
              <w:rPr>
                <w:rFonts w:ascii="微软雅黑" w:hAnsi="微软雅黑" w:eastAsia="微软雅黑" w:cs="微软雅黑"/>
                <w:b/>
                <w:bCs/>
                <w:spacing w:val="8"/>
                <w:sz w:val="18"/>
                <w:szCs w:val="18"/>
              </w:rPr>
              <w:t>资金管理</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7"/>
                <w:sz w:val="18"/>
                <w:szCs w:val="18"/>
              </w:rPr>
              <w:t>方式</w:t>
            </w:r>
          </w:p>
        </w:tc>
        <w:tc>
          <w:tcPr>
            <w:tcW w:w="3703" w:type="dxa"/>
            <w:tcBorders>
              <w:top w:val="single" w:color="000000" w:sz="6" w:space="0"/>
            </w:tcBorders>
            <w:vAlign w:val="top"/>
          </w:tcPr>
          <w:p>
            <w:pPr>
              <w:spacing w:before="272" w:line="190" w:lineRule="auto"/>
              <w:ind w:left="1447"/>
              <w:rPr>
                <w:rFonts w:ascii="微软雅黑" w:hAnsi="微软雅黑" w:eastAsia="微软雅黑" w:cs="微软雅黑"/>
                <w:sz w:val="18"/>
                <w:szCs w:val="18"/>
              </w:rPr>
            </w:pPr>
            <w:r>
              <w:rPr>
                <w:rFonts w:ascii="微软雅黑" w:hAnsi="微软雅黑" w:eastAsia="微软雅黑" w:cs="微软雅黑"/>
                <w:b/>
                <w:bCs/>
                <w:spacing w:val="9"/>
                <w:sz w:val="18"/>
                <w:szCs w:val="18"/>
              </w:rPr>
              <w:t>政策依据</w:t>
            </w:r>
          </w:p>
        </w:tc>
        <w:tc>
          <w:tcPr>
            <w:tcW w:w="926" w:type="dxa"/>
            <w:tcBorders>
              <w:top w:val="single" w:color="000000" w:sz="6" w:space="0"/>
            </w:tcBorders>
            <w:vAlign w:val="top"/>
          </w:tcPr>
          <w:p>
            <w:pPr>
              <w:spacing w:before="111" w:line="209" w:lineRule="auto"/>
              <w:ind w:left="88" w:right="63" w:hanging="27"/>
              <w:rPr>
                <w:rFonts w:ascii="微软雅黑" w:hAnsi="微软雅黑" w:eastAsia="微软雅黑" w:cs="微软雅黑"/>
                <w:sz w:val="18"/>
                <w:szCs w:val="18"/>
              </w:rPr>
            </w:pPr>
            <w:r>
              <w:rPr>
                <w:rFonts w:ascii="微软雅黑" w:hAnsi="微软雅黑" w:eastAsia="微软雅黑" w:cs="微软雅黑"/>
                <w:b/>
                <w:bCs/>
                <w:spacing w:val="8"/>
                <w:sz w:val="18"/>
                <w:szCs w:val="18"/>
              </w:rPr>
              <w:t>执收部门</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1"/>
                <w:sz w:val="18"/>
                <w:szCs w:val="18"/>
              </w:rPr>
              <w:t>（单位）</w:t>
            </w:r>
          </w:p>
        </w:tc>
        <w:tc>
          <w:tcPr>
            <w:tcW w:w="2235" w:type="dxa"/>
            <w:tcBorders>
              <w:top w:val="single" w:color="000000" w:sz="6" w:space="0"/>
            </w:tcBorders>
            <w:vAlign w:val="top"/>
          </w:tcPr>
          <w:p>
            <w:pPr>
              <w:spacing w:before="273" w:line="189" w:lineRule="auto"/>
              <w:ind w:left="719"/>
              <w:rPr>
                <w:rFonts w:ascii="微软雅黑" w:hAnsi="微软雅黑" w:eastAsia="微软雅黑" w:cs="微软雅黑"/>
                <w:sz w:val="18"/>
                <w:szCs w:val="18"/>
              </w:rPr>
            </w:pPr>
            <w:r>
              <w:rPr>
                <w:rFonts w:ascii="微软雅黑" w:hAnsi="微软雅黑" w:eastAsia="微软雅黑" w:cs="微软雅黑"/>
                <w:b/>
                <w:bCs/>
                <w:spacing w:val="9"/>
                <w:sz w:val="18"/>
                <w:szCs w:val="18"/>
              </w:rPr>
              <w:t>征收对象</w:t>
            </w:r>
          </w:p>
        </w:tc>
        <w:tc>
          <w:tcPr>
            <w:tcW w:w="3051" w:type="dxa"/>
            <w:tcBorders>
              <w:top w:val="single" w:color="000000" w:sz="6" w:space="0"/>
            </w:tcBorders>
            <w:vAlign w:val="top"/>
          </w:tcPr>
          <w:p>
            <w:pPr>
              <w:spacing w:before="272" w:line="190" w:lineRule="auto"/>
              <w:ind w:left="1128"/>
              <w:rPr>
                <w:rFonts w:ascii="微软雅黑" w:hAnsi="微软雅黑" w:eastAsia="微软雅黑" w:cs="微软雅黑"/>
                <w:sz w:val="18"/>
                <w:szCs w:val="18"/>
              </w:rPr>
            </w:pPr>
            <w:r>
              <w:rPr>
                <w:rFonts w:ascii="微软雅黑" w:hAnsi="微软雅黑" w:eastAsia="微软雅黑" w:cs="微软雅黑"/>
                <w:b/>
                <w:bCs/>
                <w:spacing w:val="9"/>
                <w:sz w:val="18"/>
                <w:szCs w:val="18"/>
              </w:rPr>
              <w:t>征收标准</w:t>
            </w:r>
          </w:p>
        </w:tc>
        <w:tc>
          <w:tcPr>
            <w:tcW w:w="2066" w:type="dxa"/>
            <w:tcBorders>
              <w:top w:val="single" w:color="000000" w:sz="6" w:space="0"/>
              <w:right w:val="single" w:color="000000" w:sz="6" w:space="0"/>
            </w:tcBorders>
            <w:vAlign w:val="top"/>
          </w:tcPr>
          <w:p>
            <w:pPr>
              <w:spacing w:before="273" w:line="189" w:lineRule="auto"/>
              <w:ind w:left="734"/>
              <w:rPr>
                <w:rFonts w:ascii="微软雅黑" w:hAnsi="微软雅黑" w:eastAsia="微软雅黑" w:cs="微软雅黑"/>
                <w:sz w:val="18"/>
                <w:szCs w:val="18"/>
              </w:rPr>
            </w:pPr>
            <w:r>
              <w:rPr>
                <w:rFonts w:ascii="微软雅黑" w:hAnsi="微软雅黑" w:eastAsia="微软雅黑" w:cs="微软雅黑"/>
                <w:b/>
                <w:bCs/>
                <w:spacing w:val="6"/>
                <w:sz w:val="18"/>
                <w:szCs w:val="18"/>
              </w:rPr>
              <w:t>备</w:t>
            </w:r>
            <w:r>
              <w:rPr>
                <w:rFonts w:ascii="微软雅黑" w:hAnsi="微软雅黑" w:eastAsia="微软雅黑" w:cs="微软雅黑"/>
                <w:b/>
                <w:bCs/>
                <w:spacing w:val="10"/>
                <w:sz w:val="18"/>
                <w:szCs w:val="18"/>
              </w:rPr>
              <w:t xml:space="preserve">   </w:t>
            </w:r>
            <w:r>
              <w:rPr>
                <w:rFonts w:ascii="微软雅黑" w:hAnsi="微软雅黑" w:eastAsia="微软雅黑" w:cs="微软雅黑"/>
                <w:b/>
                <w:bCs/>
                <w:spacing w:val="6"/>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6" w:hRule="atLeast"/>
        </w:trPr>
        <w:tc>
          <w:tcPr>
            <w:tcW w:w="468" w:type="dxa"/>
            <w:tcBorders>
              <w:left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182"/>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w:t>
            </w:r>
          </w:p>
        </w:tc>
        <w:tc>
          <w:tcPr>
            <w:tcW w:w="71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6" w:right="33" w:hanging="1"/>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残疾人</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就业保</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障金</w:t>
            </w:r>
          </w:p>
        </w:tc>
        <w:tc>
          <w:tcPr>
            <w:tcW w:w="87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46" w:right="30" w:hanging="2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缴入地方</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国库</w:t>
            </w:r>
          </w:p>
        </w:tc>
        <w:tc>
          <w:tcPr>
            <w:tcW w:w="3703"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28" w:firstLine="4"/>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《残疾人保障法》，《残疾人就业条例》，</w:t>
            </w:r>
            <w:r>
              <w:rPr>
                <w:rFonts w:hint="eastAsia" w:asciiTheme="minorEastAsia" w:hAnsiTheme="minorEastAsia" w:eastAsiaTheme="minorEastAsia" w:cstheme="minorEastAsia"/>
                <w:color w:val="000000" w:themeColor="text1"/>
                <w:spacing w:val="1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财综字〔1995〕5</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号，财综〔2001〕16</w:t>
            </w:r>
            <w:r>
              <w:rPr>
                <w:rFonts w:hint="eastAsia" w:asciiTheme="minorEastAsia" w:hAnsiTheme="minorEastAsia" w:eastAsiaTheme="minorEastAsia" w:cstheme="minorEastAsia"/>
                <w:color w:val="000000" w:themeColor="text1"/>
                <w:spacing w:val="-29"/>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财综〔2001〕18</w:t>
            </w:r>
            <w:r>
              <w:rPr>
                <w:rFonts w:hint="eastAsia" w:asciiTheme="minorEastAsia" w:hAnsiTheme="minorEastAsia" w:eastAsiaTheme="minorEastAsia" w:cstheme="minorEastAsia"/>
                <w:color w:val="000000" w:themeColor="text1"/>
                <w:spacing w:val="-3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号，财税〔2015〕72</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陕财办综〔2016〕85</w:t>
            </w:r>
            <w:r>
              <w:rPr>
                <w:rFonts w:hint="eastAsia" w:asciiTheme="minorEastAsia" w:hAnsiTheme="minorEastAsia" w:eastAsiaTheme="minorEastAsia" w:cstheme="minorEastAsia"/>
                <w:color w:val="000000" w:themeColor="text1"/>
                <w:spacing w:val="-2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号，财税〔2017〕18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号，陕财办综〔2017〕2</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号，陕财税〔201</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7〕</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17</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号，财税〔2018〕39</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18"/>
                <w:szCs w:val="18"/>
                <w14:textFill>
                  <w14:solidFill>
                    <w14:schemeClr w14:val="tx1"/>
                  </w14:solidFill>
                </w14:textFill>
              </w:rPr>
              <w:t>号，陕财税〔2018〕</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7号，陕财办税〔2020〕1号，陕财办预〔2023〕</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57</w:t>
            </w:r>
            <w:r>
              <w:rPr>
                <w:rFonts w:hint="eastAsia" w:asciiTheme="minorEastAsia" w:hAnsiTheme="minorEastAsia" w:eastAsiaTheme="minorEastAsia" w:cstheme="minorEastAsia"/>
                <w:color w:val="000000" w:themeColor="text1"/>
                <w:spacing w:val="-3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号</w:t>
            </w:r>
          </w:p>
        </w:tc>
        <w:tc>
          <w:tcPr>
            <w:tcW w:w="926"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3" w:right="25" w:hanging="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所在地税</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务机关</w:t>
            </w:r>
          </w:p>
        </w:tc>
        <w:tc>
          <w:tcPr>
            <w:tcW w:w="2235"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1" w:right="25" w:firstLine="3"/>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用人单位安排残疾人就</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业达不到本单位在职职</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工总数</w:t>
            </w:r>
            <w:r>
              <w:rPr>
                <w:rFonts w:hint="eastAsia" w:asciiTheme="minorEastAsia" w:hAnsiTheme="minorEastAsia" w:eastAsiaTheme="minorEastAsia" w:cstheme="minorEastAsia"/>
                <w:color w:val="000000" w:themeColor="text1"/>
                <w:spacing w:val="-1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1.5%比例的，应当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缴纳残疾人就业保障金。</w:t>
            </w:r>
          </w:p>
        </w:tc>
        <w:tc>
          <w:tcPr>
            <w:tcW w:w="305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5" w:right="2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按上年用人单位安排残疾人就业</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未达到规定比例的差额人数征收，</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其计算公式为：</w:t>
            </w:r>
          </w:p>
          <w:p>
            <w:pPr>
              <w:pStyle w:val="7"/>
              <w:keepNext w:val="0"/>
              <w:keepLines w:val="0"/>
              <w:pageBreakBefore w:val="0"/>
              <w:widowControl/>
              <w:kinsoku w:val="0"/>
              <w:wordWrap/>
              <w:overflowPunct/>
              <w:topLinePunct w:val="0"/>
              <w:autoSpaceDE w:val="0"/>
              <w:autoSpaceDN w:val="0"/>
              <w:bidi w:val="0"/>
              <w:adjustRightInd w:val="0"/>
              <w:snapToGrid w:val="0"/>
              <w:spacing w:before="81" w:line="267" w:lineRule="auto"/>
              <w:ind w:left="33" w:right="21" w:firstLine="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5"/>
                <w:sz w:val="18"/>
                <w:szCs w:val="18"/>
                <w14:textFill>
                  <w14:solidFill>
                    <w14:schemeClr w14:val="tx1"/>
                  </w14:solidFill>
                </w14:textFill>
              </w:rPr>
              <w:t>保障金年缴纳额=（上年用人单位</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18"/>
                <w:szCs w:val="18"/>
                <w14:textFill>
                  <w14:solidFill>
                    <w14:schemeClr w14:val="tx1"/>
                  </w14:solidFill>
                </w14:textFill>
              </w:rPr>
              <w:t xml:space="preserve">在职职工人数×1.5%-上年用人单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位实际安排的残疾人就业人数）</w:t>
            </w:r>
            <w:r>
              <w:rPr>
                <w:rFonts w:hint="eastAsia" w:asciiTheme="minorEastAsia" w:hAnsiTheme="minorEastAsia" w:eastAsiaTheme="minorEastAsia" w:cstheme="minorEastAsia"/>
                <w:color w:val="000000" w:themeColor="text1"/>
                <w:spacing w:val="-4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上年用人单位在职职工年平均工</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资。其中，用人单位在职职工平均</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工资未超过当地社会平均工资</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2</w:t>
            </w:r>
            <w:r>
              <w:rPr>
                <w:rFonts w:hint="eastAsia" w:asciiTheme="minorEastAsia" w:hAnsiTheme="minorEastAsia" w:eastAsiaTheme="minorEastAsia" w:cstheme="minorEastAsia"/>
                <w:color w:val="000000" w:themeColor="text1"/>
                <w:spacing w:val="-38"/>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倍</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（含）的，按用人单位在职职工平</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18"/>
                <w:szCs w:val="18"/>
                <w14:textFill>
                  <w14:solidFill>
                    <w14:schemeClr w14:val="tx1"/>
                  </w14:solidFill>
                </w14:textFill>
              </w:rPr>
              <w:t>均工资计征；超过当地社会平均工</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资</w:t>
            </w:r>
            <w:r>
              <w:rPr>
                <w:rFonts w:hint="eastAsia" w:asciiTheme="minorEastAsia" w:hAnsiTheme="minorEastAsia" w:eastAsiaTheme="minorEastAsia" w:cstheme="minorEastAsia"/>
                <w:color w:val="000000" w:themeColor="text1"/>
                <w:spacing w:val="-2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2</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倍的，按当地社会平均工资</w:t>
            </w:r>
            <w:r>
              <w:rPr>
                <w:rFonts w:hint="eastAsia" w:asciiTheme="minorEastAsia" w:hAnsiTheme="minorEastAsia" w:eastAsiaTheme="minorEastAsia" w:cstheme="minorEastAsia"/>
                <w:color w:val="000000" w:themeColor="text1"/>
                <w:spacing w:val="-3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18"/>
                <w:szCs w:val="18"/>
                <w14:textFill>
                  <w14:solidFill>
                    <w14:schemeClr w14:val="tx1"/>
                  </w14:solidFill>
                </w14:textFill>
              </w:rPr>
              <w:t>倍计征。</w:t>
            </w:r>
          </w:p>
        </w:tc>
        <w:tc>
          <w:tcPr>
            <w:tcW w:w="2066" w:type="dxa"/>
            <w:tcBorders>
              <w:bottom w:val="single" w:color="000000" w:sz="6" w:space="0"/>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自</w:t>
            </w:r>
            <w:r>
              <w:rPr>
                <w:rFonts w:hint="eastAsia" w:asciiTheme="minorEastAsia" w:hAnsiTheme="minorEastAsia" w:eastAsiaTheme="minorEastAsia" w:cstheme="minorEastAsia"/>
                <w:color w:val="000000" w:themeColor="text1"/>
                <w:spacing w:val="-11"/>
                <w:sz w:val="18"/>
                <w:szCs w:val="18"/>
                <w:lang w:val="en-US" w:eastAsia="zh-CN"/>
                <w14:textFill>
                  <w14:solidFill>
                    <w14:schemeClr w14:val="tx1"/>
                  </w14:solidFill>
                </w14:textFill>
              </w:rPr>
              <w:t>2018</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pacing w:val="-1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月</w:t>
            </w:r>
            <w:r>
              <w:rPr>
                <w:rFonts w:hint="eastAsia" w:asciiTheme="minorEastAsia" w:hAnsiTheme="minorEastAsia" w:eastAsiaTheme="minorEastAsia" w:cstheme="minorEastAsia"/>
                <w:color w:val="000000" w:themeColor="text1"/>
                <w:spacing w:val="-1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日起</w:t>
            </w:r>
            <w:r>
              <w:rPr>
                <w:rFonts w:hint="eastAsia" w:asciiTheme="minorEastAsia" w:hAnsiTheme="minorEastAsia" w:eastAsiaTheme="minorEastAsia" w:cstheme="minorEastAsia"/>
                <w:color w:val="000000" w:themeColor="text1"/>
                <w:spacing w:val="-1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残疾人就业保障金征收标准上限由当地社会平</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均工资的</w:t>
            </w:r>
            <w:r>
              <w:rPr>
                <w:rFonts w:hint="eastAsia" w:asciiTheme="minorEastAsia" w:hAnsiTheme="minorEastAsia" w:eastAsiaTheme="minorEastAsia" w:cstheme="minorEastAsia"/>
                <w:color w:val="000000" w:themeColor="text1"/>
                <w:spacing w:val="6"/>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倍降低至</w:t>
            </w:r>
            <w:r>
              <w:rPr>
                <w:rFonts w:hint="eastAsia" w:asciiTheme="minorEastAsia" w:hAnsiTheme="minorEastAsia" w:eastAsiaTheme="minorEastAsia" w:cstheme="minorEastAsia"/>
                <w:color w:val="000000" w:themeColor="text1"/>
                <w:spacing w:val="6"/>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倍。</w:t>
            </w:r>
          </w:p>
        </w:tc>
      </w:tr>
    </w:tbl>
    <w:p>
      <w:pPr>
        <w:rPr>
          <w:rFonts w:ascii="Arial"/>
          <w:sz w:val="21"/>
        </w:rPr>
      </w:pPr>
    </w:p>
    <w:p>
      <w:pPr>
        <w:rPr>
          <w:rFonts w:ascii="Arial" w:hAnsi="Arial" w:eastAsia="Arial" w:cs="Arial"/>
          <w:sz w:val="21"/>
          <w:szCs w:val="21"/>
        </w:rPr>
        <w:sectPr>
          <w:footerReference r:id="rId9" w:type="default"/>
          <w:pgSz w:w="16839" w:h="11906"/>
          <w:pgMar w:top="1012" w:right="1396" w:bottom="1027" w:left="1395" w:header="0" w:footer="848" w:gutter="0"/>
          <w:cols w:space="720" w:num="1"/>
        </w:sectPr>
      </w:pPr>
    </w:p>
    <w:p>
      <w:pPr>
        <w:spacing w:before="107"/>
      </w:pPr>
    </w:p>
    <w:tbl>
      <w:tblPr>
        <w:tblStyle w:val="6"/>
        <w:tblW w:w="1403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711"/>
        <w:gridCol w:w="871"/>
        <w:gridCol w:w="3703"/>
        <w:gridCol w:w="926"/>
        <w:gridCol w:w="2235"/>
        <w:gridCol w:w="3051"/>
        <w:gridCol w:w="2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468" w:type="dxa"/>
            <w:tcBorders>
              <w:top w:val="single" w:color="000000" w:sz="6" w:space="0"/>
              <w:left w:val="single" w:color="000000" w:sz="6" w:space="0"/>
            </w:tcBorders>
            <w:vAlign w:val="top"/>
          </w:tcPr>
          <w:p>
            <w:pPr>
              <w:spacing w:before="122" w:line="205" w:lineRule="auto"/>
              <w:ind w:left="25" w:right="37"/>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r>
              <w:rPr>
                <w:rFonts w:ascii="微软雅黑" w:hAnsi="微软雅黑" w:eastAsia="微软雅黑" w:cs="微软雅黑"/>
                <w:b/>
                <w:bCs/>
                <w:sz w:val="18"/>
                <w:szCs w:val="18"/>
              </w:rPr>
              <w:t xml:space="preserve"> </w:t>
            </w:r>
            <w:r>
              <w:rPr>
                <w:rFonts w:ascii="微软雅黑" w:hAnsi="微软雅黑" w:eastAsia="微软雅黑" w:cs="微软雅黑"/>
                <w:b/>
                <w:bCs/>
                <w:spacing w:val="7"/>
                <w:sz w:val="18"/>
                <w:szCs w:val="18"/>
              </w:rPr>
              <w:t>序号</w:t>
            </w:r>
          </w:p>
        </w:tc>
        <w:tc>
          <w:tcPr>
            <w:tcW w:w="711" w:type="dxa"/>
            <w:tcBorders>
              <w:top w:val="single" w:color="000000" w:sz="6" w:space="0"/>
            </w:tcBorders>
            <w:vAlign w:val="top"/>
          </w:tcPr>
          <w:p>
            <w:pPr>
              <w:spacing w:before="120" w:line="229"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项目</w:t>
            </w:r>
          </w:p>
          <w:p>
            <w:pPr>
              <w:spacing w:line="182" w:lineRule="auto"/>
              <w:ind w:left="150"/>
              <w:rPr>
                <w:rFonts w:ascii="微软雅黑" w:hAnsi="微软雅黑" w:eastAsia="微软雅黑" w:cs="微软雅黑"/>
                <w:sz w:val="18"/>
                <w:szCs w:val="18"/>
              </w:rPr>
            </w:pPr>
            <w:r>
              <w:rPr>
                <w:rFonts w:ascii="微软雅黑" w:hAnsi="微软雅黑" w:eastAsia="微软雅黑" w:cs="微软雅黑"/>
                <w:b/>
                <w:bCs/>
                <w:spacing w:val="7"/>
                <w:sz w:val="18"/>
                <w:szCs w:val="18"/>
              </w:rPr>
              <w:t>名称</w:t>
            </w:r>
          </w:p>
        </w:tc>
        <w:tc>
          <w:tcPr>
            <w:tcW w:w="871" w:type="dxa"/>
            <w:tcBorders>
              <w:top w:val="single" w:color="000000" w:sz="6" w:space="0"/>
            </w:tcBorders>
            <w:vAlign w:val="top"/>
          </w:tcPr>
          <w:p>
            <w:pPr>
              <w:spacing w:before="111" w:line="209" w:lineRule="auto"/>
              <w:ind w:left="230" w:right="40" w:hanging="201"/>
              <w:rPr>
                <w:rFonts w:ascii="微软雅黑" w:hAnsi="微软雅黑" w:eastAsia="微软雅黑" w:cs="微软雅黑"/>
                <w:sz w:val="18"/>
                <w:szCs w:val="18"/>
              </w:rPr>
            </w:pPr>
            <w:r>
              <w:rPr>
                <w:rFonts w:ascii="微软雅黑" w:hAnsi="微软雅黑" w:eastAsia="微软雅黑" w:cs="微软雅黑"/>
                <w:b/>
                <w:bCs/>
                <w:spacing w:val="8"/>
                <w:sz w:val="18"/>
                <w:szCs w:val="18"/>
              </w:rPr>
              <w:t>资金管理</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7"/>
                <w:sz w:val="18"/>
                <w:szCs w:val="18"/>
              </w:rPr>
              <w:t>方式</w:t>
            </w:r>
          </w:p>
        </w:tc>
        <w:tc>
          <w:tcPr>
            <w:tcW w:w="3703" w:type="dxa"/>
            <w:tcBorders>
              <w:top w:val="single" w:color="000000" w:sz="6" w:space="0"/>
            </w:tcBorders>
            <w:vAlign w:val="top"/>
          </w:tcPr>
          <w:p>
            <w:pPr>
              <w:spacing w:before="272" w:line="190" w:lineRule="auto"/>
              <w:ind w:left="1447"/>
              <w:rPr>
                <w:rFonts w:ascii="微软雅黑" w:hAnsi="微软雅黑" w:eastAsia="微软雅黑" w:cs="微软雅黑"/>
                <w:sz w:val="18"/>
                <w:szCs w:val="18"/>
              </w:rPr>
            </w:pPr>
            <w:r>
              <w:rPr>
                <w:rFonts w:ascii="微软雅黑" w:hAnsi="微软雅黑" w:eastAsia="微软雅黑" w:cs="微软雅黑"/>
                <w:b/>
                <w:bCs/>
                <w:spacing w:val="9"/>
                <w:sz w:val="18"/>
                <w:szCs w:val="18"/>
              </w:rPr>
              <w:t>政策依据</w:t>
            </w:r>
          </w:p>
        </w:tc>
        <w:tc>
          <w:tcPr>
            <w:tcW w:w="926" w:type="dxa"/>
            <w:tcBorders>
              <w:top w:val="single" w:color="000000" w:sz="6" w:space="0"/>
            </w:tcBorders>
            <w:vAlign w:val="top"/>
          </w:tcPr>
          <w:p>
            <w:pPr>
              <w:spacing w:before="111" w:line="209" w:lineRule="auto"/>
              <w:ind w:left="88" w:right="63" w:hanging="27"/>
              <w:rPr>
                <w:rFonts w:ascii="微软雅黑" w:hAnsi="微软雅黑" w:eastAsia="微软雅黑" w:cs="微软雅黑"/>
                <w:sz w:val="18"/>
                <w:szCs w:val="18"/>
              </w:rPr>
            </w:pPr>
            <w:r>
              <w:rPr>
                <w:rFonts w:ascii="微软雅黑" w:hAnsi="微软雅黑" w:eastAsia="微软雅黑" w:cs="微软雅黑"/>
                <w:b/>
                <w:bCs/>
                <w:spacing w:val="8"/>
                <w:sz w:val="18"/>
                <w:szCs w:val="18"/>
              </w:rPr>
              <w:t>执收部门</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1"/>
                <w:sz w:val="18"/>
                <w:szCs w:val="18"/>
              </w:rPr>
              <w:t>（单位）</w:t>
            </w:r>
          </w:p>
        </w:tc>
        <w:tc>
          <w:tcPr>
            <w:tcW w:w="2235" w:type="dxa"/>
            <w:tcBorders>
              <w:top w:val="single" w:color="000000" w:sz="6" w:space="0"/>
            </w:tcBorders>
            <w:vAlign w:val="top"/>
          </w:tcPr>
          <w:p>
            <w:pPr>
              <w:spacing w:before="273" w:line="189" w:lineRule="auto"/>
              <w:ind w:left="719"/>
              <w:rPr>
                <w:rFonts w:ascii="微软雅黑" w:hAnsi="微软雅黑" w:eastAsia="微软雅黑" w:cs="微软雅黑"/>
                <w:sz w:val="18"/>
                <w:szCs w:val="18"/>
              </w:rPr>
            </w:pPr>
            <w:r>
              <w:rPr>
                <w:rFonts w:ascii="微软雅黑" w:hAnsi="微软雅黑" w:eastAsia="微软雅黑" w:cs="微软雅黑"/>
                <w:b/>
                <w:bCs/>
                <w:spacing w:val="9"/>
                <w:sz w:val="18"/>
                <w:szCs w:val="18"/>
              </w:rPr>
              <w:t>征收对象</w:t>
            </w:r>
          </w:p>
        </w:tc>
        <w:tc>
          <w:tcPr>
            <w:tcW w:w="3051" w:type="dxa"/>
            <w:tcBorders>
              <w:top w:val="single" w:color="000000" w:sz="6" w:space="0"/>
            </w:tcBorders>
            <w:vAlign w:val="top"/>
          </w:tcPr>
          <w:p>
            <w:pPr>
              <w:spacing w:before="272" w:line="190" w:lineRule="auto"/>
              <w:ind w:left="1128"/>
              <w:rPr>
                <w:rFonts w:ascii="微软雅黑" w:hAnsi="微软雅黑" w:eastAsia="微软雅黑" w:cs="微软雅黑"/>
                <w:sz w:val="18"/>
                <w:szCs w:val="18"/>
              </w:rPr>
            </w:pPr>
            <w:r>
              <w:rPr>
                <w:rFonts w:ascii="微软雅黑" w:hAnsi="微软雅黑" w:eastAsia="微软雅黑" w:cs="微软雅黑"/>
                <w:b/>
                <w:bCs/>
                <w:spacing w:val="9"/>
                <w:sz w:val="18"/>
                <w:szCs w:val="18"/>
              </w:rPr>
              <w:t>征收标准</w:t>
            </w:r>
          </w:p>
        </w:tc>
        <w:tc>
          <w:tcPr>
            <w:tcW w:w="2066" w:type="dxa"/>
            <w:tcBorders>
              <w:top w:val="single" w:color="000000" w:sz="6" w:space="0"/>
              <w:right w:val="single" w:color="000000" w:sz="6" w:space="0"/>
            </w:tcBorders>
            <w:vAlign w:val="top"/>
          </w:tcPr>
          <w:p>
            <w:pPr>
              <w:spacing w:before="273" w:line="189" w:lineRule="auto"/>
              <w:ind w:left="734"/>
              <w:rPr>
                <w:rFonts w:ascii="微软雅黑" w:hAnsi="微软雅黑" w:eastAsia="微软雅黑" w:cs="微软雅黑"/>
                <w:sz w:val="18"/>
                <w:szCs w:val="18"/>
              </w:rPr>
            </w:pPr>
            <w:r>
              <w:rPr>
                <w:rFonts w:ascii="微软雅黑" w:hAnsi="微软雅黑" w:eastAsia="微软雅黑" w:cs="微软雅黑"/>
                <w:b/>
                <w:bCs/>
                <w:spacing w:val="6"/>
                <w:sz w:val="18"/>
                <w:szCs w:val="18"/>
              </w:rPr>
              <w:t>备</w:t>
            </w:r>
            <w:r>
              <w:rPr>
                <w:rFonts w:ascii="微软雅黑" w:hAnsi="微软雅黑" w:eastAsia="微软雅黑" w:cs="微软雅黑"/>
                <w:b/>
                <w:bCs/>
                <w:spacing w:val="10"/>
                <w:sz w:val="18"/>
                <w:szCs w:val="18"/>
              </w:rPr>
              <w:t xml:space="preserve">   </w:t>
            </w:r>
            <w:r>
              <w:rPr>
                <w:rFonts w:ascii="微软雅黑" w:hAnsi="微软雅黑" w:eastAsia="微软雅黑" w:cs="微软雅黑"/>
                <w:b/>
                <w:bCs/>
                <w:spacing w:val="6"/>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8" w:hRule="atLeast"/>
        </w:trPr>
        <w:tc>
          <w:tcPr>
            <w:tcW w:w="468" w:type="dxa"/>
            <w:tcBorders>
              <w:left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145"/>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10</w:t>
            </w:r>
          </w:p>
        </w:tc>
        <w:tc>
          <w:tcPr>
            <w:tcW w:w="71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1" w:line="267" w:lineRule="auto"/>
              <w:ind w:left="25" w:right="33"/>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森林植</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18"/>
                <w:szCs w:val="18"/>
                <w14:textFill>
                  <w14:solidFill>
                    <w14:schemeClr w14:val="tx1"/>
                  </w14:solidFill>
                </w14:textFill>
              </w:rPr>
              <w:t>被恢复</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费</w:t>
            </w:r>
          </w:p>
        </w:tc>
        <w:tc>
          <w:tcPr>
            <w:tcW w:w="87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27" w:right="30" w:hanging="2"/>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2"/>
                <w:sz w:val="18"/>
                <w:szCs w:val="18"/>
                <w14:textFill>
                  <w14:solidFill>
                    <w14:schemeClr w14:val="tx1"/>
                  </w14:solidFill>
                </w14:textFill>
              </w:rPr>
              <w:t>缴入中央</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和地方国</w:t>
            </w: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库</w:t>
            </w:r>
          </w:p>
        </w:tc>
        <w:tc>
          <w:tcPr>
            <w:tcW w:w="3703"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81" w:line="267" w:lineRule="auto"/>
              <w:ind w:left="31"/>
              <w:textAlignment w:val="baseline"/>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《森林法》，《森林法实施条例》，财综〔2002〕73号，财税〔2015〕122号，陕财办综〔2016〕58号，财税〔2022〕50号，陕税发〔2023〕5号，财税〔2023〕9号，陕财办预〔2023〕57号，陕财税〔2024〕4号</w:t>
            </w:r>
          </w:p>
        </w:tc>
        <w:tc>
          <w:tcPr>
            <w:tcW w:w="926"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1"/>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税务部门</w:t>
            </w:r>
          </w:p>
        </w:tc>
        <w:tc>
          <w:tcPr>
            <w:tcW w:w="2235"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2" w:line="267" w:lineRule="auto"/>
              <w:ind w:left="32" w:right="23" w:firstLine="4"/>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凡勘查、开采矿藏和修建</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道路、水利、电力、通讯</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7"/>
                <w:sz w:val="18"/>
                <w:szCs w:val="18"/>
                <w14:textFill>
                  <w14:solidFill>
                    <w14:schemeClr w14:val="tx1"/>
                  </w14:solidFill>
                </w14:textFill>
              </w:rPr>
              <w:t>等各项建设工程</w:t>
            </w:r>
            <w:r>
              <w:rPr>
                <w:rFonts w:hint="eastAsia" w:asciiTheme="minorEastAsia" w:hAnsiTheme="minorEastAsia" w:eastAsiaTheme="minorEastAsia" w:cstheme="minorEastAsia"/>
                <w:color w:val="000000" w:themeColor="text1"/>
                <w:spacing w:val="-54"/>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7"/>
                <w:sz w:val="18"/>
                <w:szCs w:val="18"/>
                <w14:textFill>
                  <w14:solidFill>
                    <w14:schemeClr w14:val="tx1"/>
                  </w14:solidFill>
                </w14:textFill>
              </w:rPr>
              <w:t>需要</w:t>
            </w:r>
            <w:r>
              <w:rPr>
                <w:rFonts w:hint="eastAsia" w:asciiTheme="minorEastAsia" w:hAnsiTheme="minorEastAsia" w:eastAsiaTheme="minorEastAsia" w:cstheme="minorEastAsia"/>
                <w:color w:val="000000" w:themeColor="text1"/>
                <w:spacing w:val="-3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7"/>
                <w:sz w:val="18"/>
                <w:szCs w:val="18"/>
                <w14:textFill>
                  <w14:solidFill>
                    <w14:schemeClr w14:val="tx1"/>
                  </w14:solidFill>
                </w14:textFill>
              </w:rPr>
              <w:t>占</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用、征用或者临时占用林</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18"/>
                <w:szCs w:val="18"/>
                <w14:textFill>
                  <w14:solidFill>
                    <w14:schemeClr w14:val="tx1"/>
                  </w14:solidFill>
                </w14:textFill>
              </w:rPr>
              <w:t>地，经县级以上林业主管</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7"/>
                <w:sz w:val="18"/>
                <w:szCs w:val="18"/>
                <w14:textFill>
                  <w14:solidFill>
                    <w14:schemeClr w14:val="tx1"/>
                  </w14:solidFill>
                </w14:textFill>
              </w:rPr>
              <w:t>部门审核同意或批准的</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用地单位</w:t>
            </w:r>
          </w:p>
        </w:tc>
        <w:tc>
          <w:tcPr>
            <w:tcW w:w="3051" w:type="dxa"/>
            <w:tcBorders>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textAlignment w:val="baseline"/>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textAlignment w:val="baseline"/>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textAlignment w:val="baseline"/>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textAlignment w:val="baseline"/>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(一)郁闭度0.2以上的乔木林地、竹林地、苗圃地、直接为林业生产经营服务的设施用地，每平方米收取12元；灌木林地、疏林地、未成林造林地，每平方米收取8元。</w:t>
            </w: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textAlignment w:val="baseline"/>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（二）国家和地方公益林林地，郁闭度0.2以上的乔木林地、竹林地、苗圃地、直接为林业生产经营服务的设施用地，每平方米收取24元；灌木林地、疏林地、未成林造林地，每平方米收取16元。</w:t>
            </w: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textAlignment w:val="baseline"/>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（三）城市及城市规划区内的林地，郁闭度0.2以上的乔木林地、竹林地、苗圃地、直接为林业生产经营服务的设施用地，每平方米收取24元；灌木林地、疏林地、未成林造林地，每平方米收取16元。</w:t>
            </w: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textAlignment w:val="baseline"/>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（四）城市规划区以外的林地，按使用林地的建设项目性质，实行不同征收标准。</w:t>
            </w: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23" w:line="267" w:lineRule="auto"/>
              <w:ind w:left="34" w:right="21" w:firstLine="3"/>
              <w:jc w:val="both"/>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2066" w:type="dxa"/>
            <w:tcBorders>
              <w:bottom w:val="single" w:color="000000" w:sz="6" w:space="0"/>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rPr>
          <w:rFonts w:ascii="Arial" w:hAnsi="Arial" w:eastAsia="Arial" w:cs="Arial"/>
          <w:sz w:val="21"/>
          <w:szCs w:val="21"/>
        </w:rPr>
        <w:sectPr>
          <w:footerReference r:id="rId10" w:type="default"/>
          <w:pgSz w:w="16839" w:h="11906"/>
          <w:pgMar w:top="1012" w:right="1396" w:bottom="1027" w:left="1395" w:header="0" w:footer="84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rPr>
          <w:rFonts w:hint="eastAsia" w:asciiTheme="minorEastAsia" w:hAnsiTheme="minorEastAsia" w:eastAsiaTheme="minorEastAsia" w:cstheme="minorEastAsia"/>
          <w:sz w:val="18"/>
          <w:szCs w:val="18"/>
        </w:rPr>
      </w:pPr>
    </w:p>
    <w:sectPr>
      <w:footerReference r:id="rId11" w:type="default"/>
      <w:pgSz w:w="16839" w:h="11906"/>
      <w:pgMar w:top="1012" w:right="1355" w:bottom="1027" w:left="1355"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8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6"/>
        <w:sz w:val="18"/>
        <w:szCs w:val="18"/>
      </w:rPr>
      <w:t xml:space="preserve"> </w:t>
    </w:r>
    <w:r>
      <w:rPr>
        <w:rFonts w:ascii="宋体" w:hAnsi="宋体" w:eastAsia="宋体" w:cs="宋体"/>
        <w:spacing w:val="-4"/>
        <w:sz w:val="18"/>
        <w:szCs w:val="18"/>
      </w:rPr>
      <w:t>4</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8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1"/>
        <w:sz w:val="18"/>
        <w:szCs w:val="18"/>
      </w:rPr>
      <w:t xml:space="preserve"> </w:t>
    </w:r>
    <w:r>
      <w:rPr>
        <w:rFonts w:ascii="宋体" w:hAnsi="宋体" w:eastAsia="宋体" w:cs="宋体"/>
        <w:spacing w:val="-6"/>
        <w:sz w:val="18"/>
        <w:szCs w:val="18"/>
      </w:rPr>
      <w:t>5</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ind w:left="6983"/>
    </w:pPr>
    <w:r>
      <w:rPr>
        <w:spacing w:val="-5"/>
      </w:rPr>
      <w:t>-</w:t>
    </w:r>
    <w:r>
      <w:rPr>
        <w:spacing w:val="8"/>
      </w:rPr>
      <w:t xml:space="preserve"> </w:t>
    </w:r>
    <w:r>
      <w:rPr>
        <w:spacing w:val="-5"/>
      </w:rPr>
      <w:t>6</w:t>
    </w:r>
    <w:r>
      <w:rPr>
        <w:spacing w:val="5"/>
      </w:rPr>
      <w:t xml:space="preserve"> </w:t>
    </w:r>
    <w:r>
      <w:rPr>
        <w:spacing w:val="-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1" w:lineRule="auto"/>
      <w:ind w:left="6983"/>
    </w:pPr>
    <w:r>
      <w:rPr>
        <w:spacing w:val="-6"/>
      </w:rPr>
      <w:t>-</w:t>
    </w:r>
    <w:r>
      <w:rPr>
        <w:spacing w:val="11"/>
      </w:rPr>
      <w:t xml:space="preserve"> </w:t>
    </w:r>
    <w:r>
      <w:rPr>
        <w:spacing w:val="-6"/>
      </w:rPr>
      <w:t>7</w:t>
    </w:r>
    <w:r>
      <w:rPr>
        <w:spacing w:val="5"/>
      </w:rPr>
      <w:t xml:space="preserve"> </w:t>
    </w:r>
    <w:r>
      <w:rPr>
        <w:spacing w:val="-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ind w:left="6983"/>
    </w:pPr>
    <w:r>
      <w:rPr>
        <w:spacing w:val="-5"/>
      </w:rPr>
      <w:t>-</w:t>
    </w:r>
    <w:r>
      <w:rPr>
        <w:spacing w:val="8"/>
      </w:rPr>
      <w:t xml:space="preserve"> </w:t>
    </w:r>
    <w:r>
      <w:rPr>
        <w:spacing w:val="-5"/>
      </w:rPr>
      <w:t>8</w:t>
    </w:r>
    <w:r>
      <w:rPr>
        <w:spacing w:val="5"/>
      </w:rPr>
      <w:t xml:space="preserve"> </w:t>
    </w:r>
    <w:r>
      <w:rPr>
        <w:spacing w:val="-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ind w:left="6983"/>
    </w:pPr>
    <w:r>
      <w:rPr>
        <w:spacing w:val="-5"/>
      </w:rPr>
      <w:t>-</w:t>
    </w:r>
    <w:r>
      <w:rPr>
        <w:spacing w:val="8"/>
      </w:rPr>
      <w:t xml:space="preserve"> </w:t>
    </w:r>
    <w:r>
      <w:rPr>
        <w:spacing w:val="-5"/>
      </w:rPr>
      <w:t>9</w:t>
    </w:r>
    <w:r>
      <w:rPr>
        <w:spacing w:val="5"/>
      </w:rPr>
      <w:t xml:space="preserve"> </w:t>
    </w:r>
    <w:r>
      <w:rPr>
        <w:spacing w:val="-5"/>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ind w:left="6978"/>
    </w:pPr>
    <w:r>
      <w:rPr>
        <w:spacing w:val="-4"/>
      </w:rPr>
      <w:t>-</w:t>
    </w:r>
    <w:r>
      <w:rPr>
        <w:spacing w:val="8"/>
      </w:rPr>
      <w:t xml:space="preserve"> </w:t>
    </w:r>
    <w:r>
      <w:rPr>
        <w:spacing w:val="-4"/>
      </w:rPr>
      <w:t>47</w:t>
    </w:r>
    <w:r>
      <w:rPr>
        <w:spacing w:val="8"/>
      </w:rPr>
      <w:t xml:space="preserve"> </w:t>
    </w:r>
    <w:r>
      <w:rPr>
        <w:spacing w:val="-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U2NmI2ZjQ4NWJmNTIyNTRmMDViNjk1YjFmMGUzYWYifQ=="/>
  </w:docVars>
  <w:rsids>
    <w:rsidRoot w:val="00000000"/>
    <w:rsid w:val="00D1177C"/>
    <w:rsid w:val="035B4AE9"/>
    <w:rsid w:val="03710AF1"/>
    <w:rsid w:val="04C3537C"/>
    <w:rsid w:val="051517CE"/>
    <w:rsid w:val="06636B31"/>
    <w:rsid w:val="070000D4"/>
    <w:rsid w:val="07936827"/>
    <w:rsid w:val="088F4710"/>
    <w:rsid w:val="0A522CFE"/>
    <w:rsid w:val="0C5E1E2E"/>
    <w:rsid w:val="0E045C9D"/>
    <w:rsid w:val="0EB67D00"/>
    <w:rsid w:val="0FAD01E6"/>
    <w:rsid w:val="1041383C"/>
    <w:rsid w:val="10BD25B3"/>
    <w:rsid w:val="17B10F2A"/>
    <w:rsid w:val="1BD76DDB"/>
    <w:rsid w:val="1D6B43AB"/>
    <w:rsid w:val="20675AE1"/>
    <w:rsid w:val="23D9206E"/>
    <w:rsid w:val="2C583D4C"/>
    <w:rsid w:val="36EF52AD"/>
    <w:rsid w:val="38C23F35"/>
    <w:rsid w:val="39EA2D41"/>
    <w:rsid w:val="3B0060A4"/>
    <w:rsid w:val="3C320528"/>
    <w:rsid w:val="3EBC02E7"/>
    <w:rsid w:val="40552C3C"/>
    <w:rsid w:val="42FE0D52"/>
    <w:rsid w:val="44785490"/>
    <w:rsid w:val="46517D32"/>
    <w:rsid w:val="472158A5"/>
    <w:rsid w:val="47615D53"/>
    <w:rsid w:val="49A10689"/>
    <w:rsid w:val="4ACE6FFD"/>
    <w:rsid w:val="4D7C4467"/>
    <w:rsid w:val="4F3B686F"/>
    <w:rsid w:val="4F6C798B"/>
    <w:rsid w:val="4FD558DE"/>
    <w:rsid w:val="51F279A6"/>
    <w:rsid w:val="534F5434"/>
    <w:rsid w:val="54F7BE11"/>
    <w:rsid w:val="55E0078B"/>
    <w:rsid w:val="56881A0F"/>
    <w:rsid w:val="56CD0BD8"/>
    <w:rsid w:val="5DA950A2"/>
    <w:rsid w:val="63EC1709"/>
    <w:rsid w:val="64CA0F84"/>
    <w:rsid w:val="658E1FB1"/>
    <w:rsid w:val="683437ED"/>
    <w:rsid w:val="6B842A13"/>
    <w:rsid w:val="6D253373"/>
    <w:rsid w:val="6E446CF7"/>
    <w:rsid w:val="6EBC0B3A"/>
    <w:rsid w:val="6F1C103E"/>
    <w:rsid w:val="748A0741"/>
    <w:rsid w:val="74963381"/>
    <w:rsid w:val="78467DA2"/>
    <w:rsid w:val="7BFA3AA5"/>
    <w:rsid w:val="7D4E22FA"/>
    <w:rsid w:val="BFEF4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宋体" w:hAnsi="宋体" w:eastAsia="宋体" w:cs="宋体"/>
      <w:sz w:val="18"/>
      <w:szCs w:val="1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27890</Words>
  <Characters>32625</Characters>
  <TotalTime>2</TotalTime>
  <ScaleCrop>false</ScaleCrop>
  <LinksUpToDate>false</LinksUpToDate>
  <CharactersWithSpaces>36870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2024-01-10T07:06:00Z</dcterms:created>
  <dc:creator>Kingsoft-PDF</dc:creator>
  <cp:lastModifiedBy>CZJ</cp:lastModifiedBy>
  <dcterms:modified xsi:type="dcterms:W3CDTF">2024-12-26T15:14:33Z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2024-01-09T15:06:55Z</vt:filetime>
  </property>
  <property fmtid="{D5CDD505-2E9C-101B-9397-08002B2CF9AE}" pid="4" name="UsrData">
    <vt:lpwstr>659cf08583b9c4001f56ded5wl</vt:lpwstr>
  </property>
  <property fmtid="{D5CDD505-2E9C-101B-9397-08002B2CF9AE}" pid="5" name="KSOProductBuildVer">
    <vt:lpwstr>2052-11.8.2.10422</vt:lpwstr>
  </property>
  <property fmtid="{D5CDD505-2E9C-101B-9397-08002B2CF9AE}" pid="6" name="ICV">
    <vt:lpwstr>CB0391CDB0964CD690A733F1BD779112_13</vt:lpwstr>
  </property>
</Properties>
</file>