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B" w:rsidRDefault="005F5B5B" w:rsidP="005F5B5B">
      <w:pPr>
        <w:pStyle w:val="3"/>
        <w:spacing w:after="0"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旬阳市2023年国民经济和社会发展综合指标计划表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009"/>
        <w:gridCol w:w="1508"/>
        <w:gridCol w:w="1681"/>
        <w:gridCol w:w="1132"/>
        <w:gridCol w:w="1470"/>
        <w:gridCol w:w="1178"/>
        <w:gridCol w:w="1135"/>
      </w:tblGrid>
      <w:tr w:rsidR="005F5B5B" w:rsidTr="008676F8">
        <w:trPr>
          <w:trHeight w:val="533"/>
          <w:tblHeader/>
          <w:jc w:val="center"/>
        </w:trPr>
        <w:tc>
          <w:tcPr>
            <w:tcW w:w="449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指标名称</w:t>
            </w:r>
          </w:p>
        </w:tc>
        <w:tc>
          <w:tcPr>
            <w:tcW w:w="10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单 位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2022年计划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2022年完成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2023年计划</w:t>
            </w:r>
          </w:p>
        </w:tc>
      </w:tr>
      <w:tr w:rsidR="005F5B5B" w:rsidTr="008676F8">
        <w:trPr>
          <w:trHeight w:val="465"/>
          <w:tblHeader/>
          <w:jc w:val="center"/>
        </w:trPr>
        <w:tc>
          <w:tcPr>
            <w:tcW w:w="449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0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计 划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增长(%)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 xml:space="preserve"> 完成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 xml:space="preserve"> 增长（%）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计划建议</w:t>
            </w: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bidi="ar"/>
              </w:rPr>
              <w:t>增长(%)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一、生产总值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8左右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220.53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4.6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230</w:t>
            </w: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6.5左右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其中：第一产业增加值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24.53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4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      第二产业增加值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118.94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5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10.5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      第三产业增加值 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77.06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4.2</w:t>
            </w:r>
          </w:p>
          <w:p w:rsidR="005F5B5B" w:rsidRDefault="005F5B5B" w:rsidP="008676F8">
            <w:pPr>
              <w:pStyle w:val="3"/>
              <w:spacing w:after="0"/>
              <w:jc w:val="center"/>
            </w:pP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规模以上工业增加值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5.6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10.5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二、全社会固定资产投资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170左右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182.83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20.7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8.5左右</w:t>
            </w:r>
          </w:p>
        </w:tc>
      </w:tr>
      <w:tr w:rsidR="005F5B5B" w:rsidTr="008676F8">
        <w:trPr>
          <w:trHeight w:hRule="exact" w:val="764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ind w:firstLineChars="50" w:firstLine="12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三、社会消费品零售总额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98.01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7.5左右</w:t>
            </w:r>
          </w:p>
        </w:tc>
      </w:tr>
      <w:tr w:rsidR="005F5B5B" w:rsidTr="008676F8">
        <w:trPr>
          <w:trHeight w:hRule="exact" w:val="454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四、地方一般公共预算收入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6.1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3.29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0.3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5左右</w:t>
            </w: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五、财政一般公共预算支出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39.29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3.31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44.22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16.3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六、当年新增市场主体数量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t>户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4000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8298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u w:color="000000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color="000000"/>
              </w:rPr>
              <w:t>新增4500</w:t>
            </w: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5B5B" w:rsidTr="008676F8">
        <w:trPr>
          <w:trHeight w:hRule="exact" w:val="459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进出口贸易额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亿元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0.15</w:t>
            </w: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0.43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200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0.47</w:t>
            </w: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</w:tr>
      <w:tr w:rsidR="005F5B5B" w:rsidTr="008676F8">
        <w:trPr>
          <w:trHeight w:hRule="exact" w:val="535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七、金融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金融机构贷款余额增速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%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8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126.62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9.5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金融机构存贷款比例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%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50.6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lastRenderedPageBreak/>
              <w:t xml:space="preserve"> 八、城乡居民收入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城镇居民人均可支配收入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31856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4.8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7左右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 农村居民人均可支配收入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元</w:t>
            </w: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13704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7.3</w:t>
            </w: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8左右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九、就业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城镇新增就业人数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人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3000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3257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3000以上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城镇登记失业率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%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控制在4%以内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控制在3.6%以内</w:t>
            </w: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十、生态环境质量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F5B5B" w:rsidTr="008676F8">
        <w:trPr>
          <w:trHeight w:hRule="exact" w:val="510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 xml:space="preserve">    空气质量优良天数比例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天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328</w:t>
            </w:r>
          </w:p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0.2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ind w:firstLineChars="400" w:firstLine="96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354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328</w:t>
            </w:r>
          </w:p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</w:tr>
      <w:tr w:rsidR="005F5B5B" w:rsidTr="008676F8">
        <w:trPr>
          <w:trHeight w:val="465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单位生产总值能耗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</w:pP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t>吨标煤</w:t>
            </w:r>
          </w:p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/</w:t>
            </w:r>
            <w:r>
              <w:rPr>
                <w:rStyle w:val="font71"/>
                <w:rFonts w:hAnsi="仿宋_GB2312" w:hint="default"/>
                <w:sz w:val="24"/>
                <w:szCs w:val="24"/>
                <w:lang w:bidi="ar"/>
              </w:rPr>
              <w:t>万元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</w:tr>
      <w:tr w:rsidR="005F5B5B" w:rsidTr="008676F8">
        <w:trPr>
          <w:trHeight w:val="465"/>
          <w:jc w:val="center"/>
        </w:trPr>
        <w:tc>
          <w:tcPr>
            <w:tcW w:w="44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单位生产总值二氧化碳排放</w:t>
            </w:r>
          </w:p>
        </w:tc>
        <w:tc>
          <w:tcPr>
            <w:tcW w:w="10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%</w:t>
            </w:r>
          </w:p>
        </w:tc>
        <w:tc>
          <w:tcPr>
            <w:tcW w:w="318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  <w:tc>
          <w:tcPr>
            <w:tcW w:w="260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  <w:tc>
          <w:tcPr>
            <w:tcW w:w="231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限定在控制指标以内</w:t>
            </w:r>
          </w:p>
        </w:tc>
      </w:tr>
      <w:tr w:rsidR="005F5B5B" w:rsidTr="008676F8">
        <w:trPr>
          <w:trHeight w:val="465"/>
          <w:jc w:val="center"/>
        </w:trPr>
        <w:tc>
          <w:tcPr>
            <w:tcW w:w="13606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5F5B5B" w:rsidRDefault="005F5B5B" w:rsidP="008676F8">
            <w:pPr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</w:p>
        </w:tc>
      </w:tr>
    </w:tbl>
    <w:p w:rsidR="005F5B5B" w:rsidRDefault="005F5B5B" w:rsidP="005F5B5B">
      <w:pPr>
        <w:pStyle w:val="3"/>
        <w:spacing w:after="0" w:line="600" w:lineRule="exact"/>
        <w:rPr>
          <w:rFonts w:ascii="仿宋_GB2312" w:eastAsia="仿宋_GB2312" w:hAnsi="仿宋_GB2312"/>
          <w:color w:val="000000"/>
        </w:rPr>
      </w:pPr>
      <w:r>
        <w:rPr>
          <w:rFonts w:ascii="仿宋_GB2312" w:eastAsia="仿宋_GB2312" w:hAnsi="仿宋_GB2312" w:cs="仿宋_GB2312" w:hint="eastAsia"/>
          <w:sz w:val="20"/>
          <w:lang w:bidi="ar"/>
        </w:rPr>
        <w:t>注：表中社会消费品零售总额、地方一般公共预算收入、财政一般公共预算支出为统计公报数据。</w:t>
      </w:r>
    </w:p>
    <w:p w:rsidR="005F5B5B" w:rsidRDefault="005F5B5B" w:rsidP="005F5B5B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 w:hint="eastAsia"/>
          <w:sz w:val="32"/>
          <w:szCs w:val="32"/>
        </w:rPr>
        <w:sectPr w:rsidR="005F5B5B">
          <w:pgSz w:w="16838" w:h="11906" w:orient="landscape"/>
          <w:pgMar w:top="1587" w:right="2098" w:bottom="1474" w:left="1984" w:header="851" w:footer="1587" w:gutter="0"/>
          <w:cols w:space="0"/>
          <w:docGrid w:type="lines" w:linePitch="312"/>
        </w:sectPr>
      </w:pPr>
    </w:p>
    <w:p w:rsidR="00F66A20" w:rsidRPr="005F5B5B" w:rsidRDefault="00F66A20">
      <w:pPr>
        <w:rPr>
          <w:rFonts w:hint="eastAsia"/>
        </w:rPr>
      </w:pPr>
      <w:bookmarkStart w:id="0" w:name="_GoBack"/>
      <w:bookmarkEnd w:id="0"/>
    </w:p>
    <w:sectPr w:rsidR="00F66A20" w:rsidRPr="005F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5E" w:rsidRDefault="002B025E" w:rsidP="005F5B5B">
      <w:pPr>
        <w:rPr>
          <w:rFonts w:hint="eastAsia"/>
        </w:rPr>
      </w:pPr>
      <w:r>
        <w:separator/>
      </w:r>
    </w:p>
  </w:endnote>
  <w:endnote w:type="continuationSeparator" w:id="0">
    <w:p w:rsidR="002B025E" w:rsidRDefault="002B025E" w:rsidP="005F5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roman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5E" w:rsidRDefault="002B025E" w:rsidP="005F5B5B">
      <w:pPr>
        <w:rPr>
          <w:rFonts w:hint="eastAsia"/>
        </w:rPr>
      </w:pPr>
      <w:r>
        <w:separator/>
      </w:r>
    </w:p>
  </w:footnote>
  <w:footnote w:type="continuationSeparator" w:id="0">
    <w:p w:rsidR="002B025E" w:rsidRDefault="002B025E" w:rsidP="005F5B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F"/>
    <w:rsid w:val="002B025E"/>
    <w:rsid w:val="005F5B5B"/>
    <w:rsid w:val="00D33D8F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68E50-C189-409F-B0BE-D0D3B09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B5B"/>
    <w:rPr>
      <w:sz w:val="18"/>
      <w:szCs w:val="18"/>
    </w:rPr>
  </w:style>
  <w:style w:type="paragraph" w:styleId="3">
    <w:name w:val="Body Text 3"/>
    <w:basedOn w:val="a"/>
    <w:next w:val="a5"/>
    <w:link w:val="3Char"/>
    <w:qFormat/>
    <w:rsid w:val="005F5B5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5F5B5B"/>
    <w:rPr>
      <w:rFonts w:ascii="Times New Roman" w:eastAsia="宋体" w:hAnsi="Times New Roman" w:cs="Times New Roman"/>
      <w:sz w:val="16"/>
      <w:szCs w:val="16"/>
    </w:rPr>
  </w:style>
  <w:style w:type="paragraph" w:styleId="a6">
    <w:name w:val="Body Text Indent"/>
    <w:basedOn w:val="a"/>
    <w:link w:val="Char1"/>
    <w:uiPriority w:val="99"/>
    <w:semiHidden/>
    <w:unhideWhenUsed/>
    <w:rsid w:val="005F5B5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5F5B5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qFormat/>
    <w:rsid w:val="005F5B5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5F5B5B"/>
    <w:rPr>
      <w:rFonts w:ascii="Times New Roman" w:eastAsia="宋体" w:hAnsi="Times New Roman" w:cs="Times New Roman"/>
      <w:szCs w:val="24"/>
    </w:rPr>
  </w:style>
  <w:style w:type="character" w:customStyle="1" w:styleId="font71">
    <w:name w:val="font71"/>
    <w:basedOn w:val="a0"/>
    <w:qFormat/>
    <w:rsid w:val="005F5B5B"/>
    <w:rPr>
      <w:rFonts w:ascii="仿宋_GB2312" w:eastAsia="仿宋_GB2312" w:cs="仿宋_GB2312" w:hint="eastAsia"/>
      <w:color w:val="000000"/>
      <w:sz w:val="16"/>
      <w:szCs w:val="16"/>
      <w:u w:val="none"/>
    </w:rPr>
  </w:style>
  <w:style w:type="paragraph" w:styleId="a5">
    <w:name w:val="Body Text"/>
    <w:basedOn w:val="a"/>
    <w:link w:val="Char2"/>
    <w:uiPriority w:val="99"/>
    <w:semiHidden/>
    <w:unhideWhenUsed/>
    <w:rsid w:val="005F5B5B"/>
    <w:pPr>
      <w:spacing w:after="120"/>
    </w:pPr>
  </w:style>
  <w:style w:type="character" w:customStyle="1" w:styleId="Char2">
    <w:name w:val="正文文本 Char"/>
    <w:basedOn w:val="a0"/>
    <w:link w:val="a5"/>
    <w:uiPriority w:val="99"/>
    <w:semiHidden/>
    <w:rsid w:val="005F5B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杨文超</dc:creator>
  <cp:keywords/>
  <dc:description/>
  <cp:lastModifiedBy>杨文超</cp:lastModifiedBy>
  <cp:revision>2</cp:revision>
  <dcterms:created xsi:type="dcterms:W3CDTF">2023-09-19T08:54:00Z</dcterms:created>
  <dcterms:modified xsi:type="dcterms:W3CDTF">2023-09-19T08:55:00Z</dcterms:modified>
</cp:coreProperties>
</file>