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Toc24724711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旬阳县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财政预决算领域基层政务公开标准目录</w:t>
      </w:r>
      <w:bookmarkEnd w:id="0"/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一般公共预算：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、全县一般公共预算收入执行情况表。表2、全县一般公共预算支出执行情况表。表3、县本级一般公共预算收入执行情况表。表4、县本级一般公共预算支出执行情况表。表5、地方政府一般债务限额和余额情况表。表6、全县一般公共预算收入预算表。表7、全县一般公共预算支出预算。表8、县本级一般公共预算收支预算计划安排总表（本级可用财力）。表9、县本级一般公共预算收入预算表。表10、县本级一般公共预算支出预算总表。表11、全县一般公共预算支出预算表。表12、县本级专项经费安排明细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《预算法》、《政府信息公开条例》、《财政部关于印发&lt;地方预决算公开操作规程&gt;的通知》、《财政部关于印发&lt;地方政府债务信息公开办法（试行）&gt;的通知》等法律法规和文件规定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旬阳县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旬阳县财政局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政府性基金预算：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1、全县政府性基金收入执行情况表。表2、全县政府性基金支出执行情况表。表3、地方政府专项债务限额和余额情况表。表4、全县政府性基金收入预算表。表5、全县政府性基金支出预算表。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国有资本经营预算：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1、国有资本经营收入执行情况表。表2、国有资本经营支出执行情况表。表3、国有资本经营收入预算表。表4、国有资本经营支出预算表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《预算法》、《政府信息公开条例》、《财政部关于印发&lt;地方预决算公开操作规程&gt;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的通知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旬阳县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旬阳县财政局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社会保险基金预算：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1、全县社会保险基金收入预算执行情况表。表2、全县社会保险基金支出预算执行情况表。表3、全县社会保险基金收入预算表。表4、全县社会保险基金支出预算表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《预算法》、《政府信息公开条例》、《财政部关于印发&lt;地方预决算公开操作规程&gt;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的通知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旬阳县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旬阳县财政局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《预算法》、《政府信息公开条例》、《财政部关于印发&lt;地方预决算公开操作规程&gt;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的通知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旬阳县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旬阳县财政局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旬阳县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旬阳县财政局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收支总体情况表：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部门综合预算收支总表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。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部门综合预算收入总表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。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部门综合预算支出总表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《预算法》、《政府信息公开条例》、《财政部关于印发&lt;地方预决算公开操作规程&gt;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的通知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旬阳县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县级各一级预算单位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财政拨款收支情况表：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部门综合预算财政拨款收支总表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。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部门综合预算一般公共预算支出明细表（按支出功能分类科目）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。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部门综合预算一般公共预算支出明细表（按支出经济分类科目）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。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部门综合预算一般公共预算基本支出明细表（按支出功能分类科目）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。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5、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部门综合预算一般公共预算基本支出明细表（按支出经济分类科目）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。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6、部门综合预算政府性基金收支表。表7、部门综合预算专项业务经费支出表。表8、部门综合预算财政拨款上年结转资金支出表。表9、部门综合预算政府采购（资产配置、购买服务）预算表。表10、部门综合预算一般公共预算拨款“三公”经费及会议费、培训费支出预算表。表11、部门专项业务经费重点项目绩效目标表。表12、部门整体支出绩效目标表。表13、专项资金整体绩效目标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一般公共预算支出情况表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一般公共预算基本支出表公开到功能分类项级科目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《预算法》、《政府信息公开条例》、《财政部关于印发&lt;地方预决算公开操作规程&gt;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的通知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旬阳县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县级各一级预算单位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《预算法》、《政府信息公开条例》、《财政部关于印发&lt;地方预决算公开操作规程&gt;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的通知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旬阳县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县级各一级预算单位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17"/>
    <w:rsid w:val="00381580"/>
    <w:rsid w:val="005C7717"/>
    <w:rsid w:val="0079761B"/>
    <w:rsid w:val="01BE7902"/>
    <w:rsid w:val="05AE4B00"/>
    <w:rsid w:val="0C3E45A3"/>
    <w:rsid w:val="17643F4A"/>
    <w:rsid w:val="1A6C2A60"/>
    <w:rsid w:val="1B036886"/>
    <w:rsid w:val="2F223939"/>
    <w:rsid w:val="31516920"/>
    <w:rsid w:val="34897329"/>
    <w:rsid w:val="390C6592"/>
    <w:rsid w:val="39D52811"/>
    <w:rsid w:val="41F30A81"/>
    <w:rsid w:val="45F87042"/>
    <w:rsid w:val="48525433"/>
    <w:rsid w:val="4E1C34A9"/>
    <w:rsid w:val="52284A20"/>
    <w:rsid w:val="52E4396D"/>
    <w:rsid w:val="59A6073C"/>
    <w:rsid w:val="69223D23"/>
    <w:rsid w:val="6DC35FC2"/>
    <w:rsid w:val="BFB7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546</Words>
  <Characters>3117</Characters>
  <Lines>25</Lines>
  <Paragraphs>7</Paragraphs>
  <TotalTime>2</TotalTime>
  <ScaleCrop>false</ScaleCrop>
  <LinksUpToDate>false</LinksUpToDate>
  <CharactersWithSpaces>3656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2020-12-24T16:06:00Z</dcterms:created>
  <dc:creator>gong xi</dc:creator>
  <cp:lastModifiedBy>ankang</cp:lastModifiedBy>
  <dcterms:modified xsi:type="dcterms:W3CDTF">2023-05-09T22:18:00Z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