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3"/>
        <w:gridCol w:w="578"/>
        <w:gridCol w:w="784"/>
        <w:gridCol w:w="2674"/>
        <w:gridCol w:w="1371"/>
        <w:gridCol w:w="1435"/>
        <w:gridCol w:w="1063"/>
        <w:gridCol w:w="1612"/>
        <w:gridCol w:w="769"/>
        <w:gridCol w:w="828"/>
        <w:gridCol w:w="710"/>
        <w:gridCol w:w="711"/>
        <w:gridCol w:w="725"/>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1" w:hRule="atLeast"/>
        </w:trPr>
        <w:tc>
          <w:tcPr>
            <w:tcW w:w="14610" w:type="dxa"/>
            <w:gridSpan w:val="14"/>
            <w:tcBorders>
              <w:bottom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ascii="方正小标宋简体" w:hAnsi="方正小标宋简体" w:eastAsia="方正小标宋简体" w:cs="方正小标宋简体"/>
                <w:b w:val="0"/>
                <w:i w:val="0"/>
                <w:caps w:val="0"/>
                <w:color w:val="000000"/>
                <w:spacing w:val="0"/>
                <w:w w:val="100"/>
                <w:sz w:val="40"/>
                <w:szCs w:val="40"/>
              </w:rPr>
            </w:pPr>
            <w:r>
              <w:rPr>
                <w:rFonts w:hint="eastAsia" w:ascii="方正小标宋简体" w:hAnsi="方正小标宋简体" w:eastAsia="方正小标宋简体" w:cs="方正小标宋简体"/>
                <w:b w:val="0"/>
                <w:i w:val="0"/>
                <w:caps w:val="0"/>
                <w:color w:val="000000"/>
                <w:spacing w:val="0"/>
                <w:w w:val="100"/>
                <w:kern w:val="0"/>
                <w:sz w:val="40"/>
                <w:szCs w:val="40"/>
                <w:lang w:val="en-US" w:eastAsia="zh-CN" w:bidi="ar"/>
              </w:rPr>
              <w:t>旬阳县征地补偿领域基层政务公开标准目录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23"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序号</w:t>
            </w:r>
          </w:p>
        </w:tc>
        <w:tc>
          <w:tcPr>
            <w:tcW w:w="1362"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公开事项</w:t>
            </w:r>
          </w:p>
        </w:tc>
        <w:tc>
          <w:tcPr>
            <w:tcW w:w="2674"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公开内容</w:t>
            </w:r>
          </w:p>
        </w:tc>
        <w:tc>
          <w:tcPr>
            <w:tcW w:w="1371"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公开依据</w:t>
            </w:r>
          </w:p>
        </w:tc>
        <w:tc>
          <w:tcPr>
            <w:tcW w:w="1435"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公开时限</w:t>
            </w:r>
          </w:p>
        </w:tc>
        <w:tc>
          <w:tcPr>
            <w:tcW w:w="1063"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公开主体</w:t>
            </w:r>
          </w:p>
        </w:tc>
        <w:tc>
          <w:tcPr>
            <w:tcW w:w="1612"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公开渠道</w:t>
            </w:r>
          </w:p>
        </w:tc>
        <w:tc>
          <w:tcPr>
            <w:tcW w:w="1597" w:type="dxa"/>
            <w:gridSpan w:val="2"/>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公开对象</w:t>
            </w:r>
          </w:p>
        </w:tc>
        <w:tc>
          <w:tcPr>
            <w:tcW w:w="1421" w:type="dxa"/>
            <w:gridSpan w:val="2"/>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w:t>
            </w:r>
          </w:p>
        </w:tc>
        <w:tc>
          <w:tcPr>
            <w:tcW w:w="1452" w:type="dxa"/>
            <w:gridSpan w:val="2"/>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 w:hRule="atLeast"/>
        </w:trPr>
        <w:tc>
          <w:tcPr>
            <w:tcW w:w="623"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362"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2674"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371"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435"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063"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612"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597"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421" w:type="dxa"/>
            <w:gridSpan w:val="2"/>
            <w:tcBorders>
              <w:left w:val="single" w:color="000000" w:sz="12" w:space="0"/>
              <w:bottom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方式</w:t>
            </w:r>
          </w:p>
        </w:tc>
        <w:tc>
          <w:tcPr>
            <w:tcW w:w="1452" w:type="dxa"/>
            <w:gridSpan w:val="2"/>
            <w:tcBorders>
              <w:left w:val="single" w:color="000000" w:sz="12" w:space="0"/>
              <w:bottom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23"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578" w:type="dxa"/>
            <w:tcBorders>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一级</w:t>
            </w:r>
          </w:p>
        </w:tc>
        <w:tc>
          <w:tcPr>
            <w:tcW w:w="784" w:type="dxa"/>
            <w:tcBorders>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二级</w:t>
            </w:r>
          </w:p>
        </w:tc>
        <w:tc>
          <w:tcPr>
            <w:tcW w:w="2674"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371"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435"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063"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612"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769"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全社会</w:t>
            </w:r>
          </w:p>
        </w:tc>
        <w:tc>
          <w:tcPr>
            <w:tcW w:w="828"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特定群体</w:t>
            </w:r>
          </w:p>
        </w:tc>
        <w:tc>
          <w:tcPr>
            <w:tcW w:w="710"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主动</w:t>
            </w:r>
          </w:p>
        </w:tc>
        <w:tc>
          <w:tcPr>
            <w:tcW w:w="711"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依申请</w:t>
            </w:r>
          </w:p>
        </w:tc>
        <w:tc>
          <w:tcPr>
            <w:tcW w:w="725"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县级</w:t>
            </w:r>
          </w:p>
        </w:tc>
        <w:tc>
          <w:tcPr>
            <w:tcW w:w="727" w:type="dxa"/>
            <w:vMerge w:val="restart"/>
            <w:tcBorders>
              <w:top w:val="single" w:color="000000" w:sz="12" w:space="0"/>
              <w:left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623"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578" w:type="dxa"/>
            <w:tcBorders>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事项</w:t>
            </w:r>
          </w:p>
        </w:tc>
        <w:tc>
          <w:tcPr>
            <w:tcW w:w="784" w:type="dxa"/>
            <w:tcBorders>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方正小标宋简体" w:hAnsi="方正小标宋简体" w:eastAsia="仿宋_GB2312" w:cs="方正小标宋简体"/>
                <w:b w:val="0"/>
                <w:i w:val="0"/>
                <w:caps w:val="0"/>
                <w:color w:val="000000"/>
                <w:spacing w:val="0"/>
                <w:w w:val="100"/>
                <w:sz w:val="21"/>
                <w:szCs w:val="22"/>
              </w:rPr>
            </w:pPr>
            <w:r>
              <w:rPr>
                <w:rFonts w:hint="eastAsia" w:ascii="方正小标宋简体" w:hAnsi="方正小标宋简体" w:eastAsia="仿宋_GB2312" w:cs="方正小标宋简体"/>
                <w:b w:val="0"/>
                <w:i w:val="0"/>
                <w:caps w:val="0"/>
                <w:color w:val="000000"/>
                <w:spacing w:val="0"/>
                <w:w w:val="100"/>
                <w:kern w:val="0"/>
                <w:sz w:val="21"/>
                <w:szCs w:val="22"/>
                <w:lang w:val="en-US" w:eastAsia="zh-CN" w:bidi="ar"/>
              </w:rPr>
              <w:t>事项</w:t>
            </w:r>
          </w:p>
        </w:tc>
        <w:tc>
          <w:tcPr>
            <w:tcW w:w="2674"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371"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435"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063"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1612"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769"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828"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710"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711"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725"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c>
          <w:tcPr>
            <w:tcW w:w="727" w:type="dxa"/>
            <w:vMerge w:val="continue"/>
            <w:tcBorders>
              <w:top w:val="single" w:color="000000" w:sz="12" w:space="0"/>
              <w:left w:val="single" w:color="000000" w:sz="12"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eastAsia" w:ascii="方正小标宋简体" w:hAnsi="方正小标宋简体" w:eastAsia="仿宋_GB2312" w:cs="方正小标宋简体"/>
                <w:b w:val="0"/>
                <w:i w:val="0"/>
                <w:caps w:val="0"/>
                <w:color w:val="000000"/>
                <w:spacing w:val="0"/>
                <w:w w:val="100"/>
                <w:sz w:val="21"/>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征地管理政策</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征地补偿安置法律以及适用于本地区的政策、技术标准等规定要求。                              1.法律法规和规章；</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2.征地前期准备、征地审查报批、征地组织实施规范性文件；</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3.土地补偿费和安置补助费标准（征地区片综合地价或征地统一年产值标准）；</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 xml:space="preserve">4.地上附着物和青苗补偿费标准；                  </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5、征地工作程序文件。</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《中华人民共和国政府信息公开条例》</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自该信息形成或者变更之日起20个工作日内予以公开，法律法规另有规定的除外。</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9"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征地前期准备性工作</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拟征收土地告知</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在拟征收土地前，应明确征收土地有关事项并予以公开。</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1.拟征收土地用途；</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2.拟征收土地的位置和范围；</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3.征地补偿标准及安置途径；</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4.开展土地现状调查的安排；</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5.拟征收土地的原用途管控（包括不得抢栽、抢种、抢建等有关规定）；</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6.听证权利；</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1.《土地管理法》；</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2.《国务院关于深化改革严格土地管理的决定》（国发〔2004〕28号）</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在实地启动拟征收土地工作时，在村公示栏公开7个工作日。</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20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6"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3</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征地前期准备性工作</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拟征收土地现状调查</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拟征收土地现状调查结果按规定确认后，调查结果予以公开。</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1.征收土地勘测调查表；</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2.地上附着物和青苗调查登记表；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1.《土地管理法》；</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2.《国务院关于深化改革严格土地管理的决定》（国发〔2004〕28号）</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拟征收土地现状调查结束后，在村公示栏公开，不得低于5个工作日。</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 xml:space="preserve"> </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1"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4</w:t>
            </w: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开展社会稳定风险评估</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社会稳定风险评估报告</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《土地管理法》</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在村公示栏公开，不得低于5个工作日。</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6"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5</w:t>
            </w: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土地征收公告</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1、征收范围：              2、土地现状；                 3、征收目的；              4、补偿标准；              5、安置方式和社会保障</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1.《土地管理法》；2.《征收土地公告办法》</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在村公示栏公开至少30日。</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 xml:space="preserve">  </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1"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6</w:t>
            </w: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拟征地听证</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征地前期工作中依申请开展听证工作的，听证结果予以公开。按拟征收土地告知确定的时间制作《听证通知书》；按《听证通知书》规定的时间组织听证；实施听证的，公开听证相关材料。</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1.《听证通知书》；</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2.听证处理意见；</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1.《国土资源听证规定》；</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2.《国土资源部办公厅关于进一步做好市县征地信息公开工作有关问题的通知》（国土资厅发〔2014〕29号）</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①《听证通知书》应在组织听证7个工作日前予以公开；②其他听证公开内容在拟征地听证工作结束后5个工作日内在村公示栏公开。</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 xml:space="preserve"> </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1"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7</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征地前期准备性工作</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办理补偿登记</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征地补偿登记汇总表。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1.《土地管理法》；</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2.《中华人民共和国政府信息公开条例》</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征地补偿登记结束后5个工作日内公开。公示结束后，转为依申请公开。</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 xml:space="preserve"> </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6"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8</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征地审查报批</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征地报批材料</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县人民政府按照建设用地审查报批有关规定，组织用地报批过程中的相关报批材料予以公开。</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1.县人民政府建设用地请示；</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2.县自然资源主管部门建设用地审查意见；</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3.建设用地呈报说明书、农用地转用方案、补充耕地方案、征收土地方案、供地方案；</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1.《中华人民共和国政府信息公开条例》；</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2.建设用地审查报批有关规定</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收到征地批准文件之日起10个工作日内公开。</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▲征地信息公开平台</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6"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9</w:t>
            </w: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征地批准文件</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 xml:space="preserve">有权一级人民政府批准用地的批复文件、地方人民政府转发批复文件应予以公开。 </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1.国务院批准用地批复文件（指用地由国务院批准）；</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2.省级人民政府批准用地批复文件（指用地由省级人民政府批准）；</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3.国务院批准城市用地后省级人民政府审核同意实施方案文件；</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4.地方人民政府转发用地批复文件；</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5.其他用地批准文件。</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1.《土地管理法》；</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2.《中华人民共和国政府信息公开条例》</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收到征地批准文件之日起10个工作日内公开。</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▲征地信息公开平台</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61" w:hRule="atLeast"/>
        </w:trPr>
        <w:tc>
          <w:tcPr>
            <w:tcW w:w="62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10</w:t>
            </w:r>
          </w:p>
        </w:tc>
        <w:tc>
          <w:tcPr>
            <w:tcW w:w="578"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征地组织实施</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征地补偿安置方案公告</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土地征收公告期满后，县自然资源主管部门依据土地批准文件，拟定《征地补偿安置方案》并予以公开。</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 xml:space="preserve">1.被征收土地的位置、地类、面积，地上附着物和青苗的种类、数量，需要安置的农业人口和数量； </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2.土地补偿费和安置补助费的标准、数额、支付对象和支付方式；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3.地上附着物和青苗的补偿标准与支付方式；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4.社会保障费用的筹集方法、缴费比例和办法；</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5.农业人员安置具体途径；</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6.其他有关征地补偿、安置的具体措施；</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1.《国土资源部办公厅关于进一步做好市县征地信息公开工作有关问题的通知》（国土资厅发〔2014〕29号）；</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2.《征收土地公告办法》</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拟定《征地补偿安置方案》后5个工作日内公开。公示结束后，转为依申请公开。</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6" w:hRule="atLeast"/>
        </w:trPr>
        <w:tc>
          <w:tcPr>
            <w:tcW w:w="623"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11</w:t>
            </w:r>
          </w:p>
        </w:tc>
        <w:tc>
          <w:tcPr>
            <w:tcW w:w="57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8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征地补偿费用支付</w:t>
            </w:r>
          </w:p>
        </w:tc>
        <w:tc>
          <w:tcPr>
            <w:tcW w:w="2674"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征地补偿费用支付凭证。</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〔在被征地村公告栏张贴，予以公开，张贴之日起20个工作日后可依申请公开〕。</w:t>
            </w:r>
          </w:p>
        </w:tc>
        <w:tc>
          <w:tcPr>
            <w:tcW w:w="137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1.《中华人民共和国政府信息公开条例》</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2.《征收土地公告办法》</w:t>
            </w:r>
          </w:p>
        </w:tc>
        <w:tc>
          <w:tcPr>
            <w:tcW w:w="1435"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获得支付凭证后5个工作日内予以公开。</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公示结束后，转为依申请公开。</w:t>
            </w:r>
          </w:p>
        </w:tc>
        <w:tc>
          <w:tcPr>
            <w:tcW w:w="1063"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eastAsia" w:ascii="方正仿宋简体" w:hAnsi="方正仿宋简体" w:eastAsia="仿宋_GB2312" w:cs="方正仿宋简体"/>
                <w:b w:val="0"/>
                <w:i w:val="0"/>
                <w:caps w:val="0"/>
                <w:color w:val="000000"/>
                <w:spacing w:val="0"/>
                <w:w w:val="100"/>
                <w:kern w:val="0"/>
                <w:sz w:val="21"/>
                <w:szCs w:val="20"/>
                <w:lang w:val="en-US" w:eastAsia="zh-CN" w:bidi="ar"/>
              </w:rPr>
              <w:t>旬阳</w:t>
            </w:r>
            <w:bookmarkStart w:id="0" w:name="_GoBack"/>
            <w:bookmarkEnd w:id="0"/>
            <w:r>
              <w:rPr>
                <w:rFonts w:hint="default" w:ascii="方正仿宋简体" w:hAnsi="方正仿宋简体" w:eastAsia="仿宋_GB2312" w:cs="方正仿宋简体"/>
                <w:b w:val="0"/>
                <w:i w:val="0"/>
                <w:caps w:val="0"/>
                <w:color w:val="000000"/>
                <w:spacing w:val="0"/>
                <w:w w:val="100"/>
                <w:kern w:val="0"/>
                <w:sz w:val="21"/>
                <w:szCs w:val="20"/>
                <w:lang w:val="en-US" w:eastAsia="zh-CN" w:bidi="ar"/>
              </w:rPr>
              <w:t>县自然资源局</w:t>
            </w:r>
          </w:p>
        </w:tc>
        <w:tc>
          <w:tcPr>
            <w:tcW w:w="1612"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■社区/企事业单位/村公示栏（电子屏）</w:t>
            </w:r>
            <w:r>
              <w:rPr>
                <w:rFonts w:hint="default" w:ascii="方正仿宋简体" w:hAnsi="方正仿宋简体" w:eastAsia="仿宋_GB2312" w:cs="方正仿宋简体"/>
                <w:b w:val="0"/>
                <w:i w:val="0"/>
                <w:caps w:val="0"/>
                <w:color w:val="000000"/>
                <w:spacing w:val="0"/>
                <w:w w:val="100"/>
                <w:kern w:val="0"/>
                <w:sz w:val="21"/>
                <w:szCs w:val="20"/>
                <w:lang w:val="en-US" w:eastAsia="zh-CN" w:bidi="ar"/>
              </w:rPr>
              <w:br w:type="textWrapping"/>
            </w:r>
          </w:p>
        </w:tc>
        <w:tc>
          <w:tcPr>
            <w:tcW w:w="769" w:type="dxa"/>
            <w:tcBorders>
              <w:top w:val="single" w:color="000000" w:sz="4" w:space="0"/>
              <w:left w:val="single" w:color="000000" w:sz="4" w:space="0"/>
              <w:bottom w:val="single" w:color="000000" w:sz="12"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828"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√面向拟征收土地所在地的村集体成员</w:t>
            </w:r>
          </w:p>
        </w:tc>
        <w:tc>
          <w:tcPr>
            <w:tcW w:w="71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11"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c>
          <w:tcPr>
            <w:tcW w:w="725" w:type="dxa"/>
            <w:tcBorders>
              <w:top w:val="single" w:color="000000" w:sz="4" w:space="0"/>
              <w:left w:val="single" w:color="000000" w:sz="4" w:space="0"/>
              <w:bottom w:val="single" w:color="000000" w:sz="12"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default" w:ascii="方正仿宋简体" w:hAnsi="方正仿宋简体" w:eastAsia="仿宋_GB2312" w:cs="方正仿宋简体"/>
                <w:b w:val="0"/>
                <w:i w:val="0"/>
                <w:caps w:val="0"/>
                <w:color w:val="000000"/>
                <w:spacing w:val="0"/>
                <w:w w:val="100"/>
                <w:sz w:val="21"/>
                <w:szCs w:val="20"/>
              </w:rPr>
            </w:pPr>
          </w:p>
        </w:tc>
        <w:tc>
          <w:tcPr>
            <w:tcW w:w="727"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方正仿宋简体" w:hAnsi="方正仿宋简体" w:eastAsia="仿宋_GB2312" w:cs="方正仿宋简体"/>
                <w:b w:val="0"/>
                <w:i w:val="0"/>
                <w:caps w:val="0"/>
                <w:color w:val="000000"/>
                <w:spacing w:val="0"/>
                <w:w w:val="100"/>
                <w:sz w:val="21"/>
                <w:szCs w:val="20"/>
              </w:rPr>
            </w:pPr>
            <w:r>
              <w:rPr>
                <w:rFonts w:hint="default" w:ascii="方正仿宋简体" w:hAnsi="方正仿宋简体" w:eastAsia="仿宋_GB2312" w:cs="方正仿宋简体"/>
                <w:b w:val="0"/>
                <w:i w:val="0"/>
                <w:caps w:val="0"/>
                <w:color w:val="000000"/>
                <w:spacing w:val="0"/>
                <w:w w:val="100"/>
                <w:kern w:val="0"/>
                <w:sz w:val="21"/>
                <w:szCs w:val="20"/>
                <w:lang w:val="en-US" w:eastAsia="zh-CN" w:bidi="ar"/>
              </w:rPr>
              <w:t>√</w:t>
            </w:r>
          </w:p>
        </w:tc>
      </w:tr>
    </w:tbl>
    <w:p>
      <w:pPr>
        <w:snapToGrid/>
        <w:spacing w:before="0" w:beforeAutospacing="0" w:after="0" w:afterAutospacing="0" w:line="240" w:lineRule="auto"/>
        <w:jc w:val="both"/>
        <w:textAlignment w:val="baseline"/>
        <w:rPr>
          <w:rFonts w:eastAsia="仿宋_GB2312"/>
          <w:b w:val="0"/>
          <w:i w:val="0"/>
          <w:caps w:val="0"/>
          <w:spacing w:val="0"/>
          <w:w w:val="100"/>
          <w:sz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25032"/>
    <w:rsid w:val="14725032"/>
    <w:rsid w:val="3E9039B9"/>
    <w:rsid w:val="40F60EAE"/>
    <w:rsid w:val="46D1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2020-12-30T02:40:00Z</dcterms:created>
  <dc:creator>布衣</dc:creator>
  <cp:lastModifiedBy>七秒钟记忆的鱼</cp:lastModifiedBy>
  <dcterms:modified xsi:type="dcterms:W3CDTF">2021-01-06T06:53:35Z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